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7BBCAF" w14:textId="77777777" w:rsidR="00E676FA" w:rsidRDefault="00E676FA">
      <w:pPr>
        <w:spacing w:line="360" w:lineRule="auto"/>
        <w:rPr>
          <w:rFonts w:ascii="Sennheiser Office" w:hAnsi="Sennheiser Office"/>
        </w:rPr>
      </w:pPr>
    </w:p>
    <w:p w14:paraId="34D30C0B" w14:textId="5DB09CC9" w:rsidR="00836EAB" w:rsidRPr="00E676FA" w:rsidRDefault="00A52915">
      <w:pPr>
        <w:spacing w:line="360" w:lineRule="auto"/>
        <w:rPr>
          <w:rFonts w:ascii="Sennheiser Office" w:eastAsia="Sen" w:hAnsi="Sennheiser Office" w:cs="Sen"/>
          <w:b/>
          <w:bCs/>
          <w:color w:val="00B0F0"/>
          <w:sz w:val="28"/>
          <w:szCs w:val="28"/>
          <w:highlight w:val="white"/>
        </w:rPr>
      </w:pPr>
      <w:r w:rsidRPr="00E676FA">
        <w:rPr>
          <w:rFonts w:ascii="Sennheiser Office" w:eastAsia="Sen" w:hAnsi="Sennheiser Office" w:cs="Sen"/>
          <w:b/>
          <w:bCs/>
          <w:color w:val="00B0F0"/>
          <w:sz w:val="28"/>
          <w:szCs w:val="28"/>
          <w:highlight w:val="white"/>
        </w:rPr>
        <w:t>Sennheiser Hadirkan DeviceHub, Platform Berbasis Cloud untuk Manajemen AV yang Lebih Pintar dan Aman</w:t>
      </w:r>
    </w:p>
    <w:p w14:paraId="1F81C5BC" w14:textId="77777777" w:rsidR="00836EAB" w:rsidRPr="00E676FA" w:rsidRDefault="00836EAB">
      <w:pPr>
        <w:spacing w:line="360" w:lineRule="auto"/>
        <w:rPr>
          <w:rFonts w:ascii="Sennheiser Office" w:eastAsia="Sen" w:hAnsi="Sennheiser Office" w:cs="Sen"/>
          <w:b/>
          <w:bCs/>
          <w:sz w:val="20"/>
          <w:szCs w:val="20"/>
          <w:highlight w:val="yellow"/>
        </w:rPr>
      </w:pPr>
    </w:p>
    <w:p w14:paraId="508B7891" w14:textId="77777777" w:rsidR="00836EAB" w:rsidRPr="00E676FA" w:rsidRDefault="00A52915">
      <w:pPr>
        <w:spacing w:line="360" w:lineRule="auto"/>
        <w:rPr>
          <w:rFonts w:ascii="Sennheiser Office" w:eastAsia="Sen" w:hAnsi="Sennheiser Office" w:cs="Sen"/>
          <w:b/>
          <w:bCs/>
          <w:sz w:val="20"/>
          <w:szCs w:val="20"/>
          <w:highlight w:val="white"/>
        </w:rPr>
      </w:pPr>
      <w:r w:rsidRPr="00E676FA">
        <w:rPr>
          <w:rFonts w:ascii="Sennheiser Office" w:eastAsia="Sen" w:hAnsi="Sennheiser Office" w:cs="Sen"/>
          <w:b/>
          <w:bCs/>
          <w:sz w:val="20"/>
          <w:szCs w:val="20"/>
          <w:highlight w:val="white"/>
        </w:rPr>
        <w:t>DeviceHub memusatkan seluruh perangkat Sennheiser di cloud, dilengkapi dengan fitur pemantauan jarak jauh, navigasi yang mudah dipahami, serta sistem keamanan bawaan, sehingga tim dapat mengelola sistem AV secara lebih efektif dalam skala besar.</w:t>
      </w:r>
    </w:p>
    <w:p w14:paraId="119D2028" w14:textId="77777777" w:rsidR="00836EAB" w:rsidRPr="00E676FA" w:rsidRDefault="00836EAB">
      <w:pPr>
        <w:spacing w:line="360" w:lineRule="auto"/>
        <w:rPr>
          <w:rFonts w:ascii="Sennheiser Office" w:eastAsia="Sen" w:hAnsi="Sennheiser Office" w:cs="Sen"/>
          <w:b/>
          <w:bCs/>
          <w:sz w:val="20"/>
          <w:szCs w:val="20"/>
          <w:highlight w:val="yellow"/>
        </w:rPr>
      </w:pPr>
    </w:p>
    <w:p w14:paraId="53E74AF6" w14:textId="653E0003" w:rsidR="00836EAB" w:rsidRPr="00E676FA" w:rsidRDefault="00A52915">
      <w:pPr>
        <w:spacing w:line="360" w:lineRule="auto"/>
        <w:rPr>
          <w:rFonts w:ascii="Sennheiser Office" w:eastAsia="Sen" w:hAnsi="Sennheiser Office" w:cs="Sen"/>
          <w:b/>
          <w:bCs/>
          <w:sz w:val="20"/>
          <w:szCs w:val="20"/>
          <w:highlight w:val="white"/>
        </w:rPr>
      </w:pPr>
      <w:r w:rsidRPr="00E676FA">
        <w:rPr>
          <w:rFonts w:ascii="Sennheiser Office" w:eastAsia="Sen" w:hAnsi="Sennheiser Office" w:cs="Sen"/>
          <w:b/>
          <w:bCs/>
          <w:sz w:val="20"/>
          <w:szCs w:val="20"/>
          <w:highlight w:val="white"/>
        </w:rPr>
        <w:t xml:space="preserve">Jakarta, </w:t>
      </w:r>
      <w:r w:rsidR="007F689F">
        <w:rPr>
          <w:rFonts w:ascii="Sennheiser Office" w:eastAsia="Sen" w:hAnsi="Sennheiser Office" w:cs="Sen"/>
          <w:b/>
          <w:bCs/>
          <w:sz w:val="20"/>
          <w:szCs w:val="20"/>
          <w:highlight w:val="white"/>
        </w:rPr>
        <w:t>26 Februari</w:t>
      </w:r>
      <w:r w:rsidRPr="00E676FA">
        <w:rPr>
          <w:rFonts w:ascii="Sennheiser Office" w:eastAsia="Sen" w:hAnsi="Sennheiser Office" w:cs="Sen"/>
          <w:b/>
          <w:bCs/>
          <w:sz w:val="20"/>
          <w:szCs w:val="20"/>
          <w:highlight w:val="white"/>
        </w:rPr>
        <w:t xml:space="preserve"> 2026  — </w:t>
      </w:r>
      <w:hyperlink r:id="rId7">
        <w:r w:rsidR="00836EAB" w:rsidRPr="00E676FA">
          <w:rPr>
            <w:rFonts w:ascii="Sennheiser Office" w:eastAsia="Sen" w:hAnsi="Sennheiser Office" w:cs="Sen"/>
            <w:b/>
            <w:bCs/>
            <w:color w:val="1155CC"/>
            <w:sz w:val="20"/>
            <w:szCs w:val="20"/>
            <w:highlight w:val="white"/>
            <w:u w:val="single"/>
          </w:rPr>
          <w:t>Sennheiser</w:t>
        </w:r>
      </w:hyperlink>
      <w:r w:rsidRPr="00E676FA">
        <w:rPr>
          <w:rFonts w:ascii="Sennheiser Office" w:eastAsia="Sen" w:hAnsi="Sennheiser Office" w:cs="Sen"/>
          <w:b/>
          <w:bCs/>
          <w:sz w:val="20"/>
          <w:szCs w:val="20"/>
          <w:highlight w:val="white"/>
        </w:rPr>
        <w:t xml:space="preserve"> umumkan peluncuran DeviceHub, sebuah platform berbasis cloud yang aman dan memungkinkan organisasi memantau serta mengontrol perangkat Sennheiser mereka secara terpusat dari mana saja. Setelah melalui pengujian internal yang ekstensif serta fase </w:t>
      </w:r>
      <w:r w:rsidRPr="00E676FA">
        <w:rPr>
          <w:rFonts w:ascii="Sennheiser Office" w:eastAsia="Sen" w:hAnsi="Sennheiser Office" w:cs="Sen"/>
          <w:b/>
          <w:bCs/>
          <w:i/>
          <w:iCs/>
          <w:sz w:val="20"/>
          <w:szCs w:val="20"/>
          <w:highlight w:val="white"/>
        </w:rPr>
        <w:t>private beta</w:t>
      </w:r>
      <w:r w:rsidRPr="00E676FA">
        <w:rPr>
          <w:rFonts w:ascii="Sennheiser Office" w:eastAsia="Sen" w:hAnsi="Sennheiser Office" w:cs="Sen"/>
          <w:b/>
          <w:bCs/>
          <w:sz w:val="20"/>
          <w:szCs w:val="20"/>
          <w:highlight w:val="white"/>
        </w:rPr>
        <w:t>, DeviceHub kini tersedia untuk publik dalam versi beta, dengan tahap awal yang mendukung TeamConnect Bar Solutions.</w:t>
      </w:r>
    </w:p>
    <w:p w14:paraId="6B33B48D" w14:textId="77777777" w:rsidR="00836EAB" w:rsidRPr="00E676FA" w:rsidRDefault="00836EAB">
      <w:pPr>
        <w:spacing w:line="360" w:lineRule="auto"/>
        <w:rPr>
          <w:rFonts w:ascii="Sennheiser Office" w:eastAsia="Sen" w:hAnsi="Sennheiser Office" w:cs="Sen"/>
          <w:sz w:val="20"/>
          <w:szCs w:val="20"/>
        </w:rPr>
      </w:pPr>
    </w:p>
    <w:p w14:paraId="39A288B9" w14:textId="77777777" w:rsidR="00836EAB" w:rsidRPr="00E676FA" w:rsidRDefault="00A52915">
      <w:pPr>
        <w:spacing w:line="360" w:lineRule="auto"/>
        <w:rPr>
          <w:rFonts w:ascii="Sennheiser Office" w:eastAsia="Sen" w:hAnsi="Sennheiser Office" w:cs="Sen"/>
          <w:sz w:val="20"/>
          <w:szCs w:val="20"/>
        </w:rPr>
      </w:pPr>
      <w:r w:rsidRPr="00E676FA">
        <w:rPr>
          <w:rFonts w:ascii="Sennheiser Office" w:eastAsia="Sen" w:hAnsi="Sennheiser Office" w:cs="Sen"/>
          <w:sz w:val="20"/>
          <w:szCs w:val="20"/>
        </w:rPr>
        <w:t xml:space="preserve">Sejalan dengan misi Sennheiser dalam mempermudah kolaborasi dan pembelajaran, DeviceHub menyatukan fitur pemantauan jarak jauh, pengawasan yang jelas, disertai dengan akses </w:t>
      </w:r>
      <w:r w:rsidRPr="00E676FA">
        <w:rPr>
          <w:rFonts w:ascii="Sennheiser Office" w:eastAsia="Sen" w:hAnsi="Sennheiser Office" w:cs="Sen"/>
          <w:i/>
          <w:iCs/>
          <w:sz w:val="20"/>
          <w:szCs w:val="20"/>
        </w:rPr>
        <w:t xml:space="preserve">role-based </w:t>
      </w:r>
      <w:r w:rsidRPr="00E676FA">
        <w:rPr>
          <w:rFonts w:ascii="Sennheiser Office" w:eastAsia="Sen" w:hAnsi="Sennheiser Office" w:cs="Sen"/>
          <w:sz w:val="20"/>
          <w:szCs w:val="20"/>
        </w:rPr>
        <w:t>yang aman dalam satu platform</w:t>
      </w:r>
      <w:r w:rsidRPr="00E676FA">
        <w:rPr>
          <w:rFonts w:ascii="Sennheiser Office" w:eastAsia="Sen" w:hAnsi="Sennheiser Office" w:cs="Sen"/>
          <w:i/>
          <w:iCs/>
          <w:sz w:val="20"/>
          <w:szCs w:val="20"/>
        </w:rPr>
        <w:t xml:space="preserve"> browser-based</w:t>
      </w:r>
      <w:r w:rsidRPr="00E676FA">
        <w:rPr>
          <w:rFonts w:ascii="Sennheiser Office" w:eastAsia="Sen" w:hAnsi="Sennheiser Office" w:cs="Sen"/>
          <w:sz w:val="20"/>
          <w:szCs w:val="20"/>
        </w:rPr>
        <w:t>. Peluncuran ini merupakan kelanjutan dari pengumuman perdana DeviceHub pada ajang InfoComm US pada Juni 2025, sekaligus menjadi langkah berikutnya dalam</w:t>
      </w:r>
      <w:r w:rsidRPr="00E676FA">
        <w:rPr>
          <w:rFonts w:ascii="Sennheiser Office" w:eastAsia="Sen" w:hAnsi="Sennheiser Office" w:cs="Sen"/>
          <w:i/>
          <w:iCs/>
          <w:sz w:val="20"/>
          <w:szCs w:val="20"/>
        </w:rPr>
        <w:t xml:space="preserve"> roadmap</w:t>
      </w:r>
      <w:r w:rsidRPr="00E676FA">
        <w:rPr>
          <w:rFonts w:ascii="Sennheiser Office" w:eastAsia="Sen" w:hAnsi="Sennheiser Office" w:cs="Sen"/>
          <w:sz w:val="20"/>
          <w:szCs w:val="20"/>
        </w:rPr>
        <w:t xml:space="preserve"> pengembangan DeviceHub, dengan dukungan untuk lebih banyak perangkat Sennheiser yang akan hadir sepanjang 2026.</w:t>
      </w:r>
    </w:p>
    <w:p w14:paraId="2B63F2A8" w14:textId="77777777" w:rsidR="00836EAB" w:rsidRPr="00E676FA" w:rsidRDefault="00836EAB">
      <w:pPr>
        <w:spacing w:line="360" w:lineRule="auto"/>
        <w:rPr>
          <w:rFonts w:ascii="Sennheiser Office" w:eastAsia="Sen" w:hAnsi="Sennheiser Office" w:cs="Sen"/>
          <w:sz w:val="20"/>
          <w:szCs w:val="20"/>
          <w:highlight w:val="yellow"/>
        </w:rPr>
      </w:pPr>
    </w:p>
    <w:p w14:paraId="3460DB84" w14:textId="77777777" w:rsidR="00836EAB" w:rsidRPr="00E676FA" w:rsidRDefault="00A52915">
      <w:pPr>
        <w:spacing w:line="360" w:lineRule="auto"/>
        <w:rPr>
          <w:rFonts w:ascii="Sennheiser Office" w:eastAsia="Sen" w:hAnsi="Sennheiser Office" w:cs="Sen"/>
          <w:sz w:val="20"/>
          <w:szCs w:val="20"/>
          <w:highlight w:val="yellow"/>
        </w:rPr>
      </w:pPr>
      <w:r w:rsidRPr="00E676FA">
        <w:rPr>
          <w:rFonts w:ascii="Sennheiser Office" w:eastAsia="Sen" w:hAnsi="Sennheiser Office" w:cs="Sen"/>
          <w:sz w:val="20"/>
          <w:szCs w:val="20"/>
          <w:highlight w:val="white"/>
        </w:rPr>
        <w:t>“DeviceHub menandai langkah besar dalam transformasi cara pelanggan mengelola perangkat Sennheiser mereka,” ujar Iain Horrocks, Product Marketing Manager, Software &amp; Security, di Sennheiser. “Dengan menghadirkan kontrol berbasis cloud yang aman di seluruh ekosistem, kami membekali tim IT dan AV dengan perangkat yang mereka butuhkan untuk bekerja lebih efisien, berkolaborasi lebih efektif, serta mendukung pengalaman pembelajaran dan rapat yang lebih baik. Dan ini hanyalah langkah awal dari pengembangan selanjutnya.”</w:t>
      </w:r>
    </w:p>
    <w:p w14:paraId="02D2318C" w14:textId="77777777" w:rsidR="00836EAB" w:rsidRPr="00E676FA" w:rsidRDefault="00A52915">
      <w:pPr>
        <w:spacing w:before="240" w:after="240" w:line="360" w:lineRule="auto"/>
        <w:rPr>
          <w:rFonts w:ascii="Sennheiser Office" w:eastAsia="Sen" w:hAnsi="Sennheiser Office" w:cs="Sen"/>
          <w:sz w:val="20"/>
          <w:szCs w:val="20"/>
          <w:highlight w:val="yellow"/>
        </w:rPr>
      </w:pPr>
      <w:r w:rsidRPr="00E676FA">
        <w:rPr>
          <w:rFonts w:ascii="Sennheiser Office" w:eastAsia="Sen" w:hAnsi="Sennheiser Office" w:cs="Sen"/>
          <w:sz w:val="20"/>
          <w:szCs w:val="20"/>
          <w:highlight w:val="white"/>
        </w:rPr>
        <w:t xml:space="preserve">Sebagai satu platform berbasis cloud, DeviceHub memungkinkan pengelolaan perangkat Sennheiser yang terhubung ke jaringan untuk diakses melalui browser apa pun. Fitur pemantauan </w:t>
      </w:r>
      <w:r w:rsidRPr="00E676FA">
        <w:rPr>
          <w:rFonts w:ascii="Sennheiser Office" w:eastAsia="Sen" w:hAnsi="Sennheiser Office" w:cs="Sen"/>
          <w:i/>
          <w:iCs/>
          <w:sz w:val="20"/>
          <w:szCs w:val="20"/>
          <w:highlight w:val="white"/>
        </w:rPr>
        <w:t>real-time</w:t>
      </w:r>
      <w:r w:rsidRPr="00E676FA">
        <w:rPr>
          <w:rFonts w:ascii="Sennheiser Office" w:eastAsia="Sen" w:hAnsi="Sennheiser Office" w:cs="Sen"/>
          <w:sz w:val="20"/>
          <w:szCs w:val="20"/>
          <w:highlight w:val="white"/>
        </w:rPr>
        <w:t xml:space="preserve">, diagnostik, serta notifikasi yang memberikan gambaran jelas mengenai kondisi dan kinerja </w:t>
      </w:r>
      <w:r w:rsidRPr="00E676FA">
        <w:rPr>
          <w:rFonts w:ascii="Sennheiser Office" w:eastAsia="Sen" w:hAnsi="Sennheiser Office" w:cs="Sen"/>
          <w:sz w:val="20"/>
          <w:szCs w:val="20"/>
          <w:highlight w:val="white"/>
        </w:rPr>
        <w:lastRenderedPageBreak/>
        <w:t>perangkat, sehingga tim dapat bertindak lebih cepat sebelum ada kendala yang dapat mengganggu rapat, kegiatan belajar atau ruang kolaborasi, baik di lokasi maupun jarak jauh.</w:t>
      </w:r>
    </w:p>
    <w:p w14:paraId="54C36C20" w14:textId="77777777" w:rsidR="00836EAB" w:rsidRPr="00E676FA" w:rsidRDefault="00A52915">
      <w:pPr>
        <w:spacing w:line="360" w:lineRule="auto"/>
        <w:rPr>
          <w:rFonts w:ascii="Sennheiser Office" w:eastAsia="Sen" w:hAnsi="Sennheiser Office" w:cs="Sen"/>
          <w:sz w:val="20"/>
          <w:szCs w:val="20"/>
          <w:highlight w:val="white"/>
        </w:rPr>
      </w:pPr>
      <w:r w:rsidRPr="00E676FA">
        <w:rPr>
          <w:rFonts w:ascii="Sennheiser Office" w:eastAsia="Sen" w:hAnsi="Sennheiser Office" w:cs="Sen"/>
          <w:sz w:val="20"/>
          <w:szCs w:val="20"/>
          <w:highlight w:val="white"/>
        </w:rPr>
        <w:t>Bagi tim IT, DeviceHub menyederhanakan pengelolaan perangkat dalam skala besar dengan mengelompokkan perangkat berdasarkan ruang, gedung, kampus, hingga wilayah, mengikuti struktur yang mencerminkan lingkungan nyata. Dengan satu platform, tim dapat melihat gambaran yang jelas dan menyeluruh atas setiap ruang, sehingga tim dapat menavigasi berbagai lokasi dengan mudah, melihat perangkat sesuai konteksnya, serta memahami kondisi sistem secara cepat, mulai dari beberapa ruang hingga jaringan global.</w:t>
      </w:r>
    </w:p>
    <w:p w14:paraId="6817DE2B" w14:textId="77777777" w:rsidR="00836EAB" w:rsidRPr="00E676FA" w:rsidRDefault="00A52915">
      <w:pPr>
        <w:spacing w:before="240" w:after="240" w:line="360" w:lineRule="auto"/>
        <w:rPr>
          <w:rFonts w:ascii="Sennheiser Office" w:eastAsia="Sen" w:hAnsi="Sennheiser Office" w:cs="Sen"/>
          <w:sz w:val="20"/>
          <w:szCs w:val="20"/>
          <w:highlight w:val="yellow"/>
        </w:rPr>
      </w:pPr>
      <w:r w:rsidRPr="00E676FA">
        <w:rPr>
          <w:rFonts w:ascii="Sennheiser Office" w:eastAsia="Sen" w:hAnsi="Sennheiser Office" w:cs="Sen"/>
          <w:sz w:val="20"/>
          <w:szCs w:val="20"/>
          <w:highlight w:val="white"/>
        </w:rPr>
        <w:t xml:space="preserve">Platform ini memungkinkan tim berkolaborasi secara aman di seluruh organisasi melalui akses </w:t>
      </w:r>
      <w:r w:rsidRPr="00E676FA">
        <w:rPr>
          <w:rFonts w:ascii="Sennheiser Office" w:eastAsia="Sen" w:hAnsi="Sennheiser Office" w:cs="Sen"/>
          <w:i/>
          <w:iCs/>
          <w:sz w:val="20"/>
          <w:szCs w:val="20"/>
          <w:highlight w:val="white"/>
        </w:rPr>
        <w:t>role-based</w:t>
      </w:r>
      <w:r w:rsidRPr="00E676FA">
        <w:rPr>
          <w:rFonts w:ascii="Sennheiser Office" w:eastAsia="Sen" w:hAnsi="Sennheiser Office" w:cs="Sen"/>
          <w:sz w:val="20"/>
          <w:szCs w:val="20"/>
          <w:highlight w:val="white"/>
        </w:rPr>
        <w:t>, sehingga teknisi, administrator, maupun integrator hanya dapat melihat dan mengontrol perangkat sesuai dengan kebutuhan serta tanggung jawab masing-masing, termasuk pembatasan akses berdasarkan lokasi dan sistem yang relevan. Dukungan metode autentikasi modern semakin memperkuat kolaborasi yang aman, sekaligus menjaga pembagian peran tetap jelas, alur kerja lebih sederhana, dan akuntabilitas yang transparan.</w:t>
      </w:r>
    </w:p>
    <w:p w14:paraId="76B30098" w14:textId="56321E58" w:rsidR="00836EAB" w:rsidRPr="00E676FA" w:rsidRDefault="00A52915">
      <w:pPr>
        <w:spacing w:line="360" w:lineRule="auto"/>
        <w:rPr>
          <w:rFonts w:ascii="Sennheiser Office" w:eastAsia="Sen" w:hAnsi="Sennheiser Office" w:cs="Sen"/>
          <w:sz w:val="20"/>
          <w:szCs w:val="20"/>
          <w:highlight w:val="white"/>
        </w:rPr>
      </w:pPr>
      <w:r w:rsidRPr="00E676FA">
        <w:rPr>
          <w:rFonts w:ascii="Sennheiser Office" w:eastAsia="Sen" w:hAnsi="Sennheiser Office" w:cs="Sen"/>
          <w:sz w:val="20"/>
          <w:szCs w:val="20"/>
          <w:highlight w:val="white"/>
        </w:rPr>
        <w:t>Dikembangkan dengan dukungan Microsoft Azure, DeviceHub dirancang dengan keamanan dan kepercayaan sebagai fondasi utamanya sejak awal</w:t>
      </w:r>
      <w:r w:rsidR="00F9478E">
        <w:rPr>
          <w:rFonts w:ascii="Sennheiser Office" w:eastAsia="Sen" w:hAnsi="Sennheiser Office" w:cs="Sen"/>
          <w:sz w:val="20"/>
          <w:szCs w:val="20"/>
          <w:highlight w:val="white"/>
        </w:rPr>
        <w:t>.</w:t>
      </w:r>
      <w:r w:rsidR="00F36476">
        <w:rPr>
          <w:rFonts w:ascii="Sennheiser Office" w:eastAsia="Sen" w:hAnsi="Sennheiser Office" w:cs="Sen"/>
          <w:sz w:val="20"/>
          <w:szCs w:val="20"/>
          <w:highlight w:val="white"/>
        </w:rPr>
        <w:t xml:space="preserve"> </w:t>
      </w:r>
      <w:r w:rsidR="00F9478E">
        <w:rPr>
          <w:rFonts w:ascii="Sennheiser Office" w:eastAsia="Sen" w:hAnsi="Sennheiser Office" w:cs="Sen"/>
          <w:sz w:val="20"/>
          <w:szCs w:val="20"/>
          <w:highlight w:val="white"/>
        </w:rPr>
        <w:t>M</w:t>
      </w:r>
      <w:r w:rsidRPr="00E676FA">
        <w:rPr>
          <w:rFonts w:ascii="Sennheiser Office" w:eastAsia="Sen" w:hAnsi="Sennheiser Office" w:cs="Sen"/>
          <w:sz w:val="20"/>
          <w:szCs w:val="20"/>
          <w:highlight w:val="white"/>
        </w:rPr>
        <w:t>enerapkan standar keamanan IT yang diakui industri, mulai dari autentikasi, otorisasi, enkripsi, serta pengelolaan data. Evaluasi berkelanjutan serta pengawasan kepatuhan memastikan DeviceHub tetap memenuhi standar privasi dan keamanan yang dibutuhkan oleh lingkungan perusahaan maupun pendidikan.</w:t>
      </w:r>
    </w:p>
    <w:p w14:paraId="4C2AB36A" w14:textId="77777777" w:rsidR="00836EAB" w:rsidRPr="00E676FA" w:rsidRDefault="00A52915">
      <w:pPr>
        <w:spacing w:before="240" w:after="240" w:line="360" w:lineRule="auto"/>
        <w:rPr>
          <w:rFonts w:ascii="Sennheiser Office" w:eastAsia="Sen" w:hAnsi="Sennheiser Office" w:cs="Sen"/>
          <w:sz w:val="20"/>
          <w:szCs w:val="20"/>
          <w:highlight w:val="yellow"/>
        </w:rPr>
      </w:pPr>
      <w:r w:rsidRPr="00E676FA">
        <w:rPr>
          <w:rFonts w:ascii="Sennheiser Office" w:eastAsia="Sen" w:hAnsi="Sennheiser Office" w:cs="Sen"/>
          <w:sz w:val="20"/>
          <w:szCs w:val="20"/>
          <w:highlight w:val="white"/>
        </w:rPr>
        <w:t>Dirancang agar dapat berkembang mengikuti kebutuhan organisasi, DeviceHub akan mendukung TeamConnect Bar Solutions saat peluncuran, dengan kompatibilitas yang akan diperluas ke berbagai perangkat Sennheiser lainnya sepanjang 2026. Platform ini juga dilengkapi</w:t>
      </w:r>
      <w:r w:rsidRPr="00E676FA">
        <w:rPr>
          <w:rFonts w:ascii="Sennheiser Office" w:eastAsia="Sen" w:hAnsi="Sennheiser Office" w:cs="Sen"/>
          <w:i/>
          <w:iCs/>
          <w:sz w:val="20"/>
          <w:szCs w:val="20"/>
          <w:highlight w:val="white"/>
        </w:rPr>
        <w:t xml:space="preserve"> </w:t>
      </w:r>
      <w:r w:rsidRPr="00E676FA">
        <w:rPr>
          <w:rFonts w:ascii="Sennheiser Office" w:eastAsia="Sen" w:hAnsi="Sennheiser Office" w:cs="Sen"/>
          <w:sz w:val="20"/>
          <w:szCs w:val="20"/>
          <w:highlight w:val="white"/>
        </w:rPr>
        <w:t>Local Web UI yang lebih sederhana untuk memudahkan pengaturan perangkat tunggal secara efisien melalui browser, sehingga proses instalasi menjadi lebih efisien tanpa ketergantungan pada perangkat lunak tambahan. Ke depannya, platform ini akan terus dikembangkan dengan kapabilitas baru yang semakin memperkuat pemantauan, konfigurasi, dan kolaborasi di seluruh ekosistem.</w:t>
      </w:r>
    </w:p>
    <w:p w14:paraId="1D31CE70" w14:textId="77777777" w:rsidR="00836EAB" w:rsidRPr="00E676FA" w:rsidRDefault="00A52915">
      <w:pPr>
        <w:spacing w:line="360" w:lineRule="auto"/>
        <w:rPr>
          <w:rFonts w:ascii="Sennheiser Office" w:eastAsia="Sen" w:hAnsi="Sennheiser Office" w:cs="Sen"/>
          <w:sz w:val="20"/>
          <w:szCs w:val="20"/>
          <w:highlight w:val="yellow"/>
        </w:rPr>
      </w:pPr>
      <w:r w:rsidRPr="00E676FA">
        <w:rPr>
          <w:rFonts w:ascii="Sennheiser Office" w:eastAsia="Sen" w:hAnsi="Sennheiser Office" w:cs="Sen"/>
          <w:sz w:val="20"/>
          <w:szCs w:val="20"/>
          <w:highlight w:val="white"/>
        </w:rPr>
        <w:t xml:space="preserve">Sejumlah pelanggan awal telah membagikan pengalaman mereka menggunakan DeviceHub. Salah satunya, Guillaume Amaurin, AV Specialist di Sainte-Justine Hospital, Quebec, mengatakan, “DeviceHub secara signifikan menyederhanakan pengelolaan infrastruktur kami. Cukup dengan satu konfigurasi untuk menambahkan perangkat baru, proses </w:t>
      </w:r>
      <w:r w:rsidRPr="00E676FA">
        <w:rPr>
          <w:rFonts w:ascii="Sennheiser Office" w:eastAsia="Sen" w:hAnsi="Sennheiser Office" w:cs="Sen"/>
          <w:i/>
          <w:iCs/>
          <w:sz w:val="20"/>
          <w:szCs w:val="20"/>
          <w:highlight w:val="white"/>
        </w:rPr>
        <w:t>onboarding</w:t>
      </w:r>
      <w:r w:rsidRPr="00E676FA">
        <w:rPr>
          <w:rFonts w:ascii="Sennheiser Office" w:eastAsia="Sen" w:hAnsi="Sennheiser Office" w:cs="Sen"/>
          <w:sz w:val="20"/>
          <w:szCs w:val="20"/>
          <w:highlight w:val="white"/>
        </w:rPr>
        <w:t xml:space="preserve"> pun menjadi cepat dan minim </w:t>
      </w:r>
      <w:r w:rsidRPr="00E676FA">
        <w:rPr>
          <w:rFonts w:ascii="Sennheiser Office" w:eastAsia="Sen" w:hAnsi="Sennheiser Office" w:cs="Sen"/>
          <w:sz w:val="20"/>
          <w:szCs w:val="20"/>
          <w:highlight w:val="white"/>
        </w:rPr>
        <w:lastRenderedPageBreak/>
        <w:t>hambatan. Portalnya mudah diakses dan digunakan setiap hari oleh seluruh tim untuk mengonfigurasi perangkat serta memantau penggunaannya, di mana pun kami berada.”</w:t>
      </w:r>
    </w:p>
    <w:p w14:paraId="1AC96BDE" w14:textId="77777777" w:rsidR="00836EAB" w:rsidRPr="00E676FA" w:rsidRDefault="00A52915">
      <w:pPr>
        <w:spacing w:line="360" w:lineRule="auto"/>
        <w:rPr>
          <w:rFonts w:ascii="Sennheiser Office" w:eastAsia="Sen" w:hAnsi="Sennheiser Office" w:cs="Sen"/>
          <w:sz w:val="20"/>
          <w:szCs w:val="20"/>
          <w:highlight w:val="white"/>
        </w:rPr>
      </w:pPr>
      <w:r w:rsidRPr="00E676FA">
        <w:rPr>
          <w:rFonts w:ascii="Sennheiser Office" w:eastAsia="Sen" w:hAnsi="Sennheiser Office" w:cs="Sen"/>
          <w:sz w:val="20"/>
          <w:szCs w:val="20"/>
          <w:highlight w:val="white"/>
        </w:rPr>
        <w:t xml:space="preserve">Alain Lamontagne, IT Specialist di Sainte-Justine Hospital, Quebec, menambahkan, “Dibandingkan metode sebelumnya yang berbasis </w:t>
      </w:r>
      <w:r w:rsidRPr="00E676FA">
        <w:rPr>
          <w:rFonts w:ascii="Sennheiser Office" w:eastAsia="Sen" w:hAnsi="Sennheiser Office" w:cs="Sen"/>
          <w:i/>
          <w:iCs/>
          <w:sz w:val="20"/>
          <w:szCs w:val="20"/>
          <w:highlight w:val="white"/>
        </w:rPr>
        <w:t>Cockpit</w:t>
      </w:r>
      <w:r w:rsidRPr="00E676FA">
        <w:rPr>
          <w:rFonts w:ascii="Sennheiser Office" w:eastAsia="Sen" w:hAnsi="Sennheiser Office" w:cs="Sen"/>
          <w:sz w:val="20"/>
          <w:szCs w:val="20"/>
          <w:highlight w:val="white"/>
        </w:rPr>
        <w:t>, yang terbatas digunakan pada satu komputer dan mengharuskan perangkat bar ditambahkan ulang setiap kali mesin berganti, DeviceHub memberikan peningkatan signifikan dari sisi waktu dan fleksibilitas. Kami juga menantikan kemampuan untuk menambahkan lebih banyak perangkat yang tersinkronisasi langsung dengan portal.”</w:t>
      </w:r>
    </w:p>
    <w:p w14:paraId="3C3BDA92" w14:textId="77777777" w:rsidR="00836EAB" w:rsidRPr="00E676FA" w:rsidRDefault="00836EAB">
      <w:pPr>
        <w:pBdr>
          <w:top w:val="nil"/>
          <w:left w:val="nil"/>
          <w:bottom w:val="nil"/>
          <w:right w:val="nil"/>
          <w:between w:val="nil"/>
        </w:pBdr>
        <w:spacing w:line="360" w:lineRule="auto"/>
        <w:rPr>
          <w:rFonts w:ascii="Sennheiser Office" w:eastAsia="Sen" w:hAnsi="Sennheiser Office" w:cs="Sen"/>
          <w:color w:val="000000"/>
          <w:sz w:val="20"/>
          <w:szCs w:val="20"/>
          <w:highlight w:val="yellow"/>
        </w:rPr>
      </w:pPr>
    </w:p>
    <w:p w14:paraId="05A382CD" w14:textId="12FDE623" w:rsidR="00836EAB" w:rsidRDefault="00A52915">
      <w:pPr>
        <w:pBdr>
          <w:top w:val="nil"/>
          <w:left w:val="nil"/>
          <w:bottom w:val="nil"/>
          <w:right w:val="nil"/>
          <w:between w:val="nil"/>
        </w:pBdr>
        <w:spacing w:line="360" w:lineRule="auto"/>
        <w:rPr>
          <w:rFonts w:ascii="Sennheiser Office" w:eastAsia="Sen" w:hAnsi="Sennheiser Office" w:cs="Sen"/>
          <w:sz w:val="20"/>
          <w:szCs w:val="20"/>
          <w:highlight w:val="white"/>
        </w:rPr>
      </w:pPr>
      <w:r w:rsidRPr="00E676FA">
        <w:rPr>
          <w:rFonts w:ascii="Sennheiser Office" w:eastAsia="Sen" w:hAnsi="Sennheiser Office" w:cs="Sen"/>
          <w:sz w:val="20"/>
          <w:szCs w:val="20"/>
          <w:highlight w:val="white"/>
        </w:rPr>
        <w:t>Kunjungi</w:t>
      </w:r>
      <w:hyperlink r:id="rId8">
        <w:r w:rsidR="00836EAB" w:rsidRPr="00E676FA">
          <w:rPr>
            <w:rFonts w:ascii="Sennheiser Office" w:eastAsia="Sen" w:hAnsi="Sennheiser Office" w:cs="Sen"/>
            <w:color w:val="1155CC"/>
            <w:sz w:val="20"/>
            <w:szCs w:val="20"/>
            <w:highlight w:val="white"/>
            <w:u w:val="single"/>
          </w:rPr>
          <w:t xml:space="preserve"> halaman produk DeviceHub</w:t>
        </w:r>
      </w:hyperlink>
      <w:r w:rsidRPr="00E676FA">
        <w:rPr>
          <w:rFonts w:ascii="Sennheiser Office" w:eastAsia="Sen" w:hAnsi="Sennheiser Office" w:cs="Sen"/>
          <w:sz w:val="20"/>
          <w:szCs w:val="20"/>
          <w:highlight w:val="white"/>
        </w:rPr>
        <w:t xml:space="preserve"> untuk mengetahui lebih lanjut.</w:t>
      </w:r>
    </w:p>
    <w:p w14:paraId="43A7AF53" w14:textId="77777777" w:rsidR="00E676FA" w:rsidRPr="00E676FA" w:rsidRDefault="00E676FA">
      <w:pPr>
        <w:pBdr>
          <w:top w:val="nil"/>
          <w:left w:val="nil"/>
          <w:bottom w:val="nil"/>
          <w:right w:val="nil"/>
          <w:between w:val="nil"/>
        </w:pBdr>
        <w:spacing w:line="360" w:lineRule="auto"/>
        <w:rPr>
          <w:rFonts w:ascii="Sennheiser Office" w:eastAsia="Sen" w:hAnsi="Sennheiser Office" w:cs="Sen"/>
          <w:sz w:val="18"/>
          <w:szCs w:val="18"/>
        </w:rPr>
      </w:pPr>
    </w:p>
    <w:p w14:paraId="6CDDA353" w14:textId="77777777" w:rsidR="00836EAB" w:rsidRPr="00E676FA" w:rsidRDefault="00A52915">
      <w:pPr>
        <w:spacing w:after="160" w:line="360" w:lineRule="auto"/>
        <w:rPr>
          <w:rFonts w:ascii="Sennheiser Office" w:eastAsia="Sen" w:hAnsi="Sennheiser Office" w:cs="Sen"/>
          <w:b/>
          <w:bCs/>
          <w:sz w:val="18"/>
          <w:szCs w:val="18"/>
        </w:rPr>
      </w:pPr>
      <w:r w:rsidRPr="00E676FA">
        <w:rPr>
          <w:rFonts w:ascii="Sennheiser Office" w:eastAsia="Sen" w:hAnsi="Sennheiser Office" w:cs="Sen"/>
          <w:b/>
          <w:bCs/>
          <w:sz w:val="18"/>
          <w:szCs w:val="18"/>
        </w:rPr>
        <w:t>Tentang Merek Sennheiser – 80 Tahun Membangun Masa Depan Audio</w:t>
      </w:r>
    </w:p>
    <w:p w14:paraId="0DCF917B" w14:textId="77777777" w:rsidR="00836EAB" w:rsidRPr="00E676FA" w:rsidRDefault="00A52915">
      <w:pPr>
        <w:spacing w:after="160" w:line="360" w:lineRule="auto"/>
        <w:rPr>
          <w:rFonts w:ascii="Sennheiser Office" w:eastAsia="Sen" w:hAnsi="Sennheiser Office" w:cs="Sen"/>
          <w:sz w:val="18"/>
          <w:szCs w:val="18"/>
        </w:rPr>
      </w:pPr>
      <w:r w:rsidRPr="00E676FA">
        <w:rPr>
          <w:rFonts w:ascii="Sennheiser Office" w:eastAsia="Sen" w:hAnsi="Sennheiser Office" w:cs="Sen"/>
          <w:sz w:val="18"/>
          <w:szCs w:val="18"/>
        </w:rPr>
        <w:t>Kami hidup dan bernapas dengan audio. Kami didorong oleh semangat untuk menciptakan solusi audio yang membuat perbedaan. Semangat ini telah membawa kami dari panggung-panggung terbaik di dunia hingga ruang-ruang dengar yang paling tenang – dan menjadikan Sennheiser sebagai nama di balik audio yang tidak hanya terdengar bagus: tetapi juga terasa nyata. Pada tahun 2025, merek Sennheiser merayakan hari jadinya yang ke-80. Sejak tahun 1945, kami berkomitmen untuk membangun masa depan audio dan menghadirkan pengalaman suara yang luar biasa bagi para pelanggan kami.</w:t>
      </w:r>
    </w:p>
    <w:p w14:paraId="6F0CC591" w14:textId="77777777" w:rsidR="00836EAB" w:rsidRPr="00E676FA" w:rsidRDefault="00A52915">
      <w:pPr>
        <w:spacing w:after="160" w:line="360" w:lineRule="auto"/>
        <w:rPr>
          <w:rFonts w:ascii="Sennheiser Office" w:eastAsia="Sen" w:hAnsi="Sennheiser Office" w:cs="Sen"/>
          <w:sz w:val="18"/>
          <w:szCs w:val="18"/>
        </w:rPr>
      </w:pPr>
      <w:r w:rsidRPr="00E676FA">
        <w:rPr>
          <w:rFonts w:ascii="Sennheiser Office" w:eastAsia="Sen" w:hAnsi="Sennheiser Office" w:cs="Sen"/>
          <w:sz w:val="18"/>
          <w:szCs w:val="18"/>
        </w:rPr>
        <w:t xml:space="preserve">Sementara solusi audio profesional seperti mikrofon, </w:t>
      </w:r>
      <w:r w:rsidRPr="00E676FA">
        <w:rPr>
          <w:rFonts w:ascii="Sennheiser Office" w:eastAsia="Sen" w:hAnsi="Sennheiser Office" w:cs="Sen"/>
          <w:i/>
          <w:iCs/>
          <w:sz w:val="18"/>
          <w:szCs w:val="18"/>
        </w:rPr>
        <w:t>meeting solutions</w:t>
      </w:r>
      <w:r w:rsidRPr="00E676FA">
        <w:rPr>
          <w:rFonts w:ascii="Sennheiser Office" w:eastAsia="Sen" w:hAnsi="Sennheiser Office" w:cs="Sen"/>
          <w:sz w:val="18"/>
          <w:szCs w:val="18"/>
        </w:rPr>
        <w:t xml:space="preserve">, teknologi </w:t>
      </w:r>
      <w:r w:rsidRPr="00E676FA">
        <w:rPr>
          <w:rFonts w:ascii="Sennheiser Office" w:eastAsia="Sen" w:hAnsi="Sennheiser Office" w:cs="Sen"/>
          <w:i/>
          <w:iCs/>
          <w:sz w:val="18"/>
          <w:szCs w:val="18"/>
        </w:rPr>
        <w:t>streaming</w:t>
      </w:r>
      <w:r w:rsidRPr="00E676FA">
        <w:rPr>
          <w:rFonts w:ascii="Sennheiser Office" w:eastAsia="Sen" w:hAnsi="Sennheiser Office" w:cs="Sen"/>
          <w:sz w:val="18"/>
          <w:szCs w:val="18"/>
        </w:rPr>
        <w:t xml:space="preserve">, dan </w:t>
      </w:r>
      <w:r w:rsidRPr="00E676FA">
        <w:rPr>
          <w:rFonts w:ascii="Sennheiser Office" w:eastAsia="Sen" w:hAnsi="Sennheiser Office" w:cs="Sen"/>
          <w:i/>
          <w:iCs/>
          <w:sz w:val="18"/>
          <w:szCs w:val="18"/>
        </w:rPr>
        <w:t>monitoring</w:t>
      </w:r>
      <w:r w:rsidRPr="00E676FA">
        <w:rPr>
          <w:rFonts w:ascii="Sennheiser Office" w:eastAsia="Sen" w:hAnsi="Sennheiser Office" w:cs="Sen"/>
          <w:sz w:val="18"/>
          <w:szCs w:val="18"/>
        </w:rPr>
        <w:t xml:space="preserve"> </w:t>
      </w:r>
      <w:r w:rsidRPr="00E676FA">
        <w:rPr>
          <w:rFonts w:ascii="Sennheiser Office" w:eastAsia="Sen" w:hAnsi="Sennheiser Office" w:cs="Sen"/>
          <w:i/>
          <w:iCs/>
          <w:sz w:val="18"/>
          <w:szCs w:val="18"/>
        </w:rPr>
        <w:t>system</w:t>
      </w:r>
      <w:r w:rsidRPr="00E676FA">
        <w:rPr>
          <w:rFonts w:ascii="Sennheiser Office" w:eastAsia="Sen" w:hAnsi="Sennheiser Office" w:cs="Sen"/>
          <w:sz w:val="18"/>
          <w:szCs w:val="18"/>
        </w:rPr>
        <w:t xml:space="preserve"> merupakan bagian dari bisnis Sennheiser electronic SE &amp; Co. KG. Sedangkan bisnis perangkat konsumen seperti </w:t>
      </w:r>
      <w:r w:rsidRPr="00E676FA">
        <w:rPr>
          <w:rFonts w:ascii="Sennheiser Office" w:eastAsia="Sen" w:hAnsi="Sennheiser Office" w:cs="Sen"/>
          <w:i/>
          <w:iCs/>
          <w:sz w:val="18"/>
          <w:szCs w:val="18"/>
        </w:rPr>
        <w:t>headphone</w:t>
      </w:r>
      <w:r w:rsidRPr="00E676FA">
        <w:rPr>
          <w:rFonts w:ascii="Sennheiser Office" w:eastAsia="Sen" w:hAnsi="Sennheiser Office" w:cs="Sen"/>
          <w:sz w:val="18"/>
          <w:szCs w:val="18"/>
        </w:rPr>
        <w:t xml:space="preserve">, </w:t>
      </w:r>
      <w:r w:rsidRPr="00E676FA">
        <w:rPr>
          <w:rFonts w:ascii="Sennheiser Office" w:eastAsia="Sen" w:hAnsi="Sennheiser Office" w:cs="Sen"/>
          <w:i/>
          <w:iCs/>
          <w:sz w:val="18"/>
          <w:szCs w:val="18"/>
        </w:rPr>
        <w:t>soundbar</w:t>
      </w:r>
      <w:r w:rsidRPr="00E676FA">
        <w:rPr>
          <w:rFonts w:ascii="Sennheiser Office" w:eastAsia="Sen" w:hAnsi="Sennheiser Office" w:cs="Sen"/>
          <w:sz w:val="18"/>
          <w:szCs w:val="18"/>
        </w:rPr>
        <w:t xml:space="preserve">, dan </w:t>
      </w:r>
      <w:r w:rsidRPr="00E676FA">
        <w:rPr>
          <w:rFonts w:ascii="Sennheiser Office" w:eastAsia="Sen" w:hAnsi="Sennheiser Office" w:cs="Sen"/>
          <w:i/>
          <w:iCs/>
          <w:sz w:val="18"/>
          <w:szCs w:val="18"/>
        </w:rPr>
        <w:t>speech-enhanced</w:t>
      </w:r>
      <w:r w:rsidRPr="00E676FA">
        <w:rPr>
          <w:rFonts w:ascii="Sennheiser Office" w:eastAsia="Sen" w:hAnsi="Sennheiser Office" w:cs="Sen"/>
          <w:sz w:val="18"/>
          <w:szCs w:val="18"/>
        </w:rPr>
        <w:t xml:space="preserve"> </w:t>
      </w:r>
      <w:r w:rsidRPr="00E676FA">
        <w:rPr>
          <w:rFonts w:ascii="Sennheiser Office" w:eastAsia="Sen" w:hAnsi="Sennheiser Office" w:cs="Sen"/>
          <w:i/>
          <w:iCs/>
          <w:sz w:val="18"/>
          <w:szCs w:val="18"/>
        </w:rPr>
        <w:t>heareables</w:t>
      </w:r>
      <w:r w:rsidRPr="00E676FA">
        <w:rPr>
          <w:rFonts w:ascii="Sennheiser Office" w:eastAsia="Sen" w:hAnsi="Sennheiser Office" w:cs="Sen"/>
          <w:sz w:val="18"/>
          <w:szCs w:val="18"/>
        </w:rPr>
        <w:t xml:space="preserve"> dijalankan oleh Sonova Holding AG di bawah lisensi Sennheiser.</w:t>
      </w:r>
    </w:p>
    <w:p w14:paraId="58043A1E" w14:textId="77777777" w:rsidR="00836EAB" w:rsidRPr="00E676FA" w:rsidRDefault="00836EAB">
      <w:pPr>
        <w:pBdr>
          <w:top w:val="nil"/>
          <w:left w:val="nil"/>
          <w:bottom w:val="nil"/>
          <w:right w:val="nil"/>
          <w:between w:val="nil"/>
        </w:pBdr>
        <w:spacing w:line="360" w:lineRule="auto"/>
        <w:rPr>
          <w:rFonts w:ascii="Sennheiser Office" w:eastAsia="Sen" w:hAnsi="Sennheiser Office" w:cs="Sen"/>
          <w:color w:val="0095D5"/>
          <w:sz w:val="18"/>
          <w:szCs w:val="18"/>
        </w:rPr>
      </w:pPr>
      <w:hyperlink r:id="rId9">
        <w:r w:rsidRPr="00E676FA">
          <w:rPr>
            <w:rFonts w:ascii="Sennheiser Office" w:eastAsia="Sen" w:hAnsi="Sennheiser Office" w:cs="Sen"/>
            <w:color w:val="0095D5"/>
            <w:sz w:val="18"/>
            <w:szCs w:val="18"/>
          </w:rPr>
          <w:t>www.sennheiser.com</w:t>
        </w:r>
      </w:hyperlink>
    </w:p>
    <w:p w14:paraId="35368710" w14:textId="77777777" w:rsidR="00836EAB" w:rsidRPr="00E676FA" w:rsidRDefault="00836EAB">
      <w:pPr>
        <w:pBdr>
          <w:top w:val="nil"/>
          <w:left w:val="nil"/>
          <w:bottom w:val="nil"/>
          <w:right w:val="nil"/>
          <w:between w:val="nil"/>
        </w:pBdr>
        <w:spacing w:line="360" w:lineRule="auto"/>
        <w:rPr>
          <w:rFonts w:ascii="Sennheiser Office" w:eastAsia="Sen" w:hAnsi="Sennheiser Office" w:cs="Sen"/>
          <w:color w:val="000000"/>
          <w:sz w:val="18"/>
          <w:szCs w:val="18"/>
        </w:rPr>
      </w:pPr>
      <w:hyperlink r:id="rId10">
        <w:r w:rsidRPr="00E676FA">
          <w:rPr>
            <w:rFonts w:ascii="Sennheiser Office" w:eastAsia="Sen" w:hAnsi="Sennheiser Office" w:cs="Sen"/>
            <w:color w:val="0095D5"/>
            <w:sz w:val="18"/>
            <w:szCs w:val="18"/>
          </w:rPr>
          <w:t>www.sennheiser-hearing.com</w:t>
        </w:r>
      </w:hyperlink>
    </w:p>
    <w:p w14:paraId="72573EF0" w14:textId="77777777" w:rsidR="00836EAB" w:rsidRPr="00E676FA" w:rsidRDefault="00836EAB">
      <w:pPr>
        <w:spacing w:line="360" w:lineRule="auto"/>
        <w:rPr>
          <w:rFonts w:ascii="Sennheiser Office" w:eastAsia="Sen" w:hAnsi="Sennheiser Office" w:cs="Sen"/>
          <w:sz w:val="16"/>
          <w:szCs w:val="16"/>
        </w:rPr>
      </w:pPr>
    </w:p>
    <w:p w14:paraId="181665F1" w14:textId="77777777" w:rsidR="00836EAB" w:rsidRPr="00E676FA" w:rsidRDefault="00A52915">
      <w:pPr>
        <w:spacing w:line="360" w:lineRule="auto"/>
        <w:rPr>
          <w:rFonts w:ascii="Sennheiser Office" w:eastAsia="Sen" w:hAnsi="Sennheiser Office" w:cs="Sen"/>
          <w:b/>
          <w:bCs/>
          <w:sz w:val="18"/>
          <w:szCs w:val="18"/>
        </w:rPr>
      </w:pPr>
      <w:r w:rsidRPr="00E676FA">
        <w:rPr>
          <w:rFonts w:ascii="Sennheiser Office" w:eastAsia="Sen" w:hAnsi="Sennheiser Office" w:cs="Sen"/>
          <w:b/>
          <w:bCs/>
          <w:sz w:val="18"/>
          <w:szCs w:val="18"/>
        </w:rPr>
        <w:t>Kontak Media untuk Communications Manager | Sennheiser APAC</w:t>
      </w:r>
    </w:p>
    <w:p w14:paraId="2E517F7B" w14:textId="77777777" w:rsidR="00836EAB" w:rsidRPr="00E676FA" w:rsidRDefault="00A52915">
      <w:pPr>
        <w:spacing w:line="360" w:lineRule="auto"/>
        <w:rPr>
          <w:rFonts w:ascii="Sennheiser Office" w:eastAsia="Sen" w:hAnsi="Sennheiser Office" w:cs="Sen"/>
          <w:sz w:val="18"/>
          <w:szCs w:val="18"/>
        </w:rPr>
      </w:pPr>
      <w:r w:rsidRPr="00E676FA">
        <w:rPr>
          <w:rFonts w:ascii="Sennheiser Office" w:eastAsia="Sen" w:hAnsi="Sennheiser Office" w:cs="Sen"/>
          <w:sz w:val="18"/>
          <w:szCs w:val="18"/>
        </w:rPr>
        <w:t>Phang Su Hui</w:t>
      </w:r>
    </w:p>
    <w:p w14:paraId="07945C9E" w14:textId="77777777" w:rsidR="00836EAB" w:rsidRPr="00E676FA" w:rsidRDefault="00836EAB">
      <w:pPr>
        <w:spacing w:line="360" w:lineRule="auto"/>
        <w:rPr>
          <w:rFonts w:ascii="Sennheiser Office" w:eastAsia="Sen" w:hAnsi="Sennheiser Office" w:cs="Sen"/>
          <w:sz w:val="18"/>
          <w:szCs w:val="18"/>
        </w:rPr>
      </w:pPr>
      <w:hyperlink r:id="rId11">
        <w:r w:rsidRPr="00E676FA">
          <w:rPr>
            <w:rFonts w:ascii="Sennheiser Office" w:eastAsia="Sen" w:hAnsi="Sennheiser Office" w:cs="Sen"/>
            <w:color w:val="1155CC"/>
            <w:sz w:val="18"/>
            <w:szCs w:val="18"/>
            <w:u w:val="single"/>
          </w:rPr>
          <w:t>Suhui.phang@sennheiser.com</w:t>
        </w:r>
      </w:hyperlink>
    </w:p>
    <w:p w14:paraId="61B1BF16" w14:textId="77777777" w:rsidR="00836EAB" w:rsidRPr="00E676FA" w:rsidRDefault="00A52915">
      <w:pPr>
        <w:spacing w:line="360" w:lineRule="auto"/>
        <w:rPr>
          <w:rFonts w:ascii="Sennheiser Office" w:eastAsia="Sen" w:hAnsi="Sennheiser Office" w:cs="Sen"/>
          <w:sz w:val="18"/>
          <w:szCs w:val="18"/>
        </w:rPr>
      </w:pPr>
      <w:r w:rsidRPr="00E676FA">
        <w:rPr>
          <w:rFonts w:ascii="Sennheiser Office" w:eastAsia="Sen" w:hAnsi="Sennheiser Office" w:cs="Sen"/>
          <w:sz w:val="18"/>
          <w:szCs w:val="18"/>
        </w:rPr>
        <w:t>M +65 91595024</w:t>
      </w:r>
    </w:p>
    <w:p w14:paraId="7AFC96D7" w14:textId="77777777" w:rsidR="00836EAB" w:rsidRPr="00E676FA" w:rsidRDefault="00836EAB">
      <w:pPr>
        <w:spacing w:line="360" w:lineRule="auto"/>
        <w:rPr>
          <w:rFonts w:ascii="Sennheiser Office" w:eastAsia="Sen" w:hAnsi="Sennheiser Office" w:cs="Sen"/>
          <w:sz w:val="18"/>
          <w:szCs w:val="18"/>
        </w:rPr>
      </w:pPr>
    </w:p>
    <w:p w14:paraId="4733ACDE" w14:textId="77777777" w:rsidR="00836EAB" w:rsidRPr="00E676FA" w:rsidRDefault="00A52915">
      <w:pPr>
        <w:spacing w:line="360" w:lineRule="auto"/>
        <w:rPr>
          <w:rFonts w:ascii="Sennheiser Office" w:eastAsia="Sen" w:hAnsi="Sennheiser Office" w:cs="Sen"/>
          <w:b/>
          <w:bCs/>
          <w:sz w:val="18"/>
          <w:szCs w:val="18"/>
        </w:rPr>
      </w:pPr>
      <w:r w:rsidRPr="00E676FA">
        <w:rPr>
          <w:rFonts w:ascii="Sennheiser Office" w:eastAsia="Sen" w:hAnsi="Sennheiser Office" w:cs="Sen"/>
          <w:b/>
          <w:bCs/>
          <w:sz w:val="18"/>
          <w:szCs w:val="18"/>
        </w:rPr>
        <w:t>Kontak Media untuk IND PR Agency | Occam</w:t>
      </w:r>
    </w:p>
    <w:p w14:paraId="247B96BE" w14:textId="77777777" w:rsidR="00836EAB" w:rsidRPr="00E676FA" w:rsidRDefault="00A52915">
      <w:pPr>
        <w:spacing w:line="360" w:lineRule="auto"/>
        <w:rPr>
          <w:rFonts w:ascii="Sennheiser Office" w:eastAsia="Sen" w:hAnsi="Sennheiser Office" w:cs="Sen"/>
          <w:sz w:val="18"/>
          <w:szCs w:val="18"/>
        </w:rPr>
      </w:pPr>
      <w:r w:rsidRPr="00E676FA">
        <w:rPr>
          <w:rFonts w:ascii="Sennheiser Office" w:eastAsia="Sen" w:hAnsi="Sennheiser Office" w:cs="Sen"/>
          <w:sz w:val="18"/>
          <w:szCs w:val="18"/>
        </w:rPr>
        <w:t>Septa Perdana</w:t>
      </w:r>
    </w:p>
    <w:p w14:paraId="3452C58D" w14:textId="77777777" w:rsidR="00836EAB" w:rsidRPr="00E676FA" w:rsidRDefault="00836EAB">
      <w:pPr>
        <w:spacing w:line="360" w:lineRule="auto"/>
        <w:rPr>
          <w:rFonts w:ascii="Sennheiser Office" w:eastAsia="Sen" w:hAnsi="Sennheiser Office" w:cs="Sen"/>
          <w:sz w:val="18"/>
          <w:szCs w:val="18"/>
        </w:rPr>
      </w:pPr>
      <w:hyperlink r:id="rId12">
        <w:r w:rsidRPr="00E676FA">
          <w:rPr>
            <w:rFonts w:ascii="Sennheiser Office" w:eastAsia="Sen" w:hAnsi="Sennheiser Office" w:cs="Sen"/>
            <w:color w:val="1155CC"/>
            <w:sz w:val="18"/>
            <w:szCs w:val="18"/>
            <w:u w:val="single"/>
          </w:rPr>
          <w:t>Septa@occam.co.id</w:t>
        </w:r>
      </w:hyperlink>
    </w:p>
    <w:p w14:paraId="6671737C" w14:textId="77777777" w:rsidR="00836EAB" w:rsidRPr="00E676FA" w:rsidRDefault="00A52915">
      <w:pPr>
        <w:spacing w:line="360" w:lineRule="auto"/>
        <w:rPr>
          <w:rFonts w:ascii="Sennheiser Office" w:eastAsia="Sen" w:hAnsi="Sennheiser Office" w:cs="Sen"/>
          <w:sz w:val="18"/>
          <w:szCs w:val="18"/>
        </w:rPr>
      </w:pPr>
      <w:r w:rsidRPr="00E676FA">
        <w:rPr>
          <w:rFonts w:ascii="Sennheiser Office" w:eastAsia="Sen" w:hAnsi="Sennheiser Office" w:cs="Sen"/>
          <w:sz w:val="18"/>
          <w:szCs w:val="18"/>
        </w:rPr>
        <w:t>M +62 82111509853</w:t>
      </w:r>
    </w:p>
    <w:p w14:paraId="29683DE8" w14:textId="77777777" w:rsidR="00836EAB" w:rsidRPr="00E676FA" w:rsidRDefault="00836EAB">
      <w:pPr>
        <w:spacing w:line="360" w:lineRule="auto"/>
        <w:rPr>
          <w:rFonts w:ascii="Sennheiser Office" w:eastAsia="Sen" w:hAnsi="Sennheiser Office" w:cs="Sen"/>
          <w:sz w:val="16"/>
          <w:szCs w:val="16"/>
        </w:rPr>
      </w:pPr>
    </w:p>
    <w:sectPr w:rsidR="00836EAB" w:rsidRPr="00E676FA" w:rsidSect="004A374F">
      <w:headerReference w:type="default" r:id="rId13"/>
      <w:footerReference w:type="even" r:id="rId14"/>
      <w:footerReference w:type="default" r:id="rId15"/>
      <w:headerReference w:type="first" r:id="rId16"/>
      <w:footerReference w:type="first" r:id="rId17"/>
      <w:pgSz w:w="12240" w:h="15840"/>
      <w:pgMar w:top="1440" w:right="1440" w:bottom="1221"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557F04" w14:textId="77777777" w:rsidR="000861A3" w:rsidRDefault="000861A3">
      <w:r>
        <w:separator/>
      </w:r>
    </w:p>
  </w:endnote>
  <w:endnote w:type="continuationSeparator" w:id="0">
    <w:p w14:paraId="5446F48C" w14:textId="77777777" w:rsidR="000861A3" w:rsidRDefault="00086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2A01870B-AE26-264E-B69D-A030662D21AF}"/>
    <w:embedBold r:id="rId2" w:fontKey="{85007D1E-E839-2540-916F-A9BAA7792289}"/>
    <w:embedItalic r:id="rId3" w:fontKey="{20F2A253-BC4B-3045-B6C7-B2DC2A38E9CC}"/>
  </w:font>
  <w:font w:name="Times New Roman">
    <w:panose1 w:val="02020603050405020304"/>
    <w:charset w:val="01"/>
    <w:family w:val="roman"/>
    <w:pitch w:val="variable"/>
    <w:sig w:usb0="E0002EFF" w:usb1="C000785B" w:usb2="00000009" w:usb3="00000000" w:csb0="000001FF" w:csb1="00000000"/>
    <w:embedRegular r:id="rId4" w:fontKey="{CDF7B087-72B8-3043-8024-14E41D624287}"/>
    <w:embedBold r:id="rId5" w:fontKey="{E4092B8E-A09B-CA4B-83A2-62846FD15FC5}"/>
    <w:embedItalic r:id="rId6" w:fontKey="{DA426F09-1147-2F43-816B-E479C59A3B3E}"/>
  </w:font>
  <w:font w:name="Calibri Light">
    <w:panose1 w:val="020F0302020204030204"/>
    <w:charset w:val="00"/>
    <w:family w:val="swiss"/>
    <w:pitch w:val="variable"/>
    <w:sig w:usb0="E0002AFF" w:usb1="C000247B" w:usb2="00000009" w:usb3="00000000" w:csb0="000001FF" w:csb1="00000000"/>
    <w:embedRegular r:id="rId7" w:fontKey="{F28CE607-2D6A-BC4B-828D-A06E0583A36E}"/>
  </w:font>
  <w:font w:name="Sennheiser Office">
    <w:panose1 w:val="020B0604020202020204"/>
    <w:charset w:val="4D"/>
    <w:family w:val="auto"/>
    <w:pitch w:val="variable"/>
    <w:sig w:usb0="A00000AF" w:usb1="500020DB" w:usb2="00000000" w:usb3="00000000" w:csb0="00000093" w:csb1="00000000"/>
    <w:embedRegular r:id="rId8" w:fontKey="{8B171CF6-A2F5-5943-90D5-1B8AE3CC77A9}"/>
    <w:embedBold r:id="rId9" w:fontKey="{69FB8E36-BB43-E041-8790-C4460B0BF013}"/>
    <w:embedItalic r:id="rId10" w:fontKey="{9CAE7E71-70D9-F94B-8718-9618E6D9523C}"/>
    <w:embedBoldItalic r:id="rId11" w:fontKey="{9D812B4B-5513-1D42-8BD3-A200693732A4}"/>
  </w:font>
  <w:font w:name="Sen">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7D23F" w14:textId="77777777" w:rsidR="00836EAB" w:rsidRDefault="00A52915">
    <w:pPr>
      <w:pBdr>
        <w:top w:val="nil"/>
        <w:left w:val="nil"/>
        <w:bottom w:val="nil"/>
        <w:right w:val="nil"/>
        <w:between w:val="nil"/>
      </w:pBdr>
      <w:rPr>
        <w:rFonts w:ascii="Sen" w:eastAsia="Sen" w:hAnsi="Sen" w:cs="Sen"/>
        <w:color w:val="000000"/>
        <w:sz w:val="12"/>
        <w:szCs w:val="12"/>
      </w:rPr>
    </w:pPr>
    <w:r>
      <w:rPr>
        <w:noProof/>
      </w:rPr>
      <mc:AlternateContent>
        <mc:Choice Requires="wps">
          <w:drawing>
            <wp:anchor distT="0" distB="0" distL="0" distR="0" simplePos="0" relativeHeight="251662336" behindDoc="0" locked="0" layoutInCell="1" hidden="0" allowOverlap="1" wp14:anchorId="7A29A5DD" wp14:editId="2ACD1243">
              <wp:simplePos x="0" y="0"/>
              <wp:positionH relativeFrom="column">
                <wp:posOffset>1801177</wp:posOffset>
              </wp:positionH>
              <wp:positionV relativeFrom="paragraph">
                <wp:posOffset>-9522</wp:posOffset>
              </wp:positionV>
              <wp:extent cx="512445" cy="397510"/>
              <wp:effectExtent l="0" t="0" r="0" b="0"/>
              <wp:wrapNone/>
              <wp:docPr id="2103949780" name="Rectangle 2103949780" descr="Internal"/>
              <wp:cNvGraphicFramePr/>
              <a:graphic xmlns:a="http://schemas.openxmlformats.org/drawingml/2006/main">
                <a:graphicData uri="http://schemas.microsoft.com/office/word/2010/wordprocessingShape">
                  <wps:wsp>
                    <wps:cNvSpPr/>
                    <wps:spPr>
                      <a:xfrm>
                        <a:off x="5099303" y="3590770"/>
                        <a:ext cx="493395" cy="378460"/>
                      </a:xfrm>
                      <a:prstGeom prst="rect">
                        <a:avLst/>
                      </a:prstGeom>
                      <a:noFill/>
                      <a:ln>
                        <a:noFill/>
                      </a:ln>
                    </wps:spPr>
                    <wps:txbx>
                      <w:txbxContent>
                        <w:p w14:paraId="24A0FA82" w14:textId="77777777" w:rsidR="00836EAB" w:rsidRDefault="00A52915">
                          <w:pPr>
                            <w:textDirection w:val="btLr"/>
                          </w:pPr>
                          <w:r>
                            <w:rPr>
                              <w:rFonts w:ascii="Sen" w:eastAsia="Sen" w:hAnsi="Sen" w:cs="Sen"/>
                              <w:color w:val="037CC2"/>
                            </w:rPr>
                            <w:t>Internal</w:t>
                          </w:r>
                        </w:p>
                      </w:txbxContent>
                    </wps:txbx>
                    <wps:bodyPr spcFirstLastPara="1" wrap="square" lIns="0" tIns="0" rIns="0" bIns="190500" anchor="b" anchorCtr="0">
                      <a:noAutofit/>
                    </wps:bodyPr>
                  </wps:wsp>
                </a:graphicData>
              </a:graphic>
            </wp:anchor>
          </w:drawing>
        </mc:Choice>
        <mc:Fallback>
          <w:pict>
            <v:rect w14:anchorId="7A29A5DD" id="Rectangle 2103949780" o:spid="_x0000_s1026" alt="Internal" style="position:absolute;margin-left:141.8pt;margin-top:-.75pt;width:40.35pt;height:31.3pt;z-index:251662336;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" filled="f" stroked="f">
              <v:textbox inset="0,0,0,15pt">
                <w:txbxContent>
                  <w:p w14:paraId="24A0FA82" w14:textId="77777777" w:rsidR="00836EAB" w:rsidRDefault="00A52915">
                    <w:pPr>
                      <w:textDirection w:val="btLr"/>
                    </w:pPr>
                    <w:r>
                      <w:rPr>
                        <w:rFonts w:ascii="Sen" w:eastAsia="Sen" w:hAnsi="Sen" w:cs="Sen"/>
                        <w:color w:val="037CC2"/>
                      </w:rPr>
                      <w:t>Internal</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1E746" w14:textId="77777777" w:rsidR="00836EAB" w:rsidRDefault="00836EAB">
    <w:pPr>
      <w:pBdr>
        <w:top w:val="nil"/>
        <w:left w:val="nil"/>
        <w:bottom w:val="nil"/>
        <w:right w:val="nil"/>
        <w:between w:val="nil"/>
      </w:pBdr>
      <w:rPr>
        <w:rFonts w:ascii="Sen" w:eastAsia="Sen" w:hAnsi="Sen" w:cs="Sen"/>
        <w:color w:val="000000"/>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CBF17" w14:textId="77777777" w:rsidR="00836EAB" w:rsidRDefault="00A52915">
    <w:pPr>
      <w:pBdr>
        <w:top w:val="nil"/>
        <w:left w:val="nil"/>
        <w:bottom w:val="nil"/>
        <w:right w:val="nil"/>
        <w:between w:val="nil"/>
      </w:pBdr>
      <w:tabs>
        <w:tab w:val="left" w:pos="3068"/>
      </w:tabs>
      <w:rPr>
        <w:rFonts w:ascii="Sen" w:eastAsia="Sen" w:hAnsi="Sen" w:cs="Sen"/>
        <w:color w:val="000000"/>
        <w:sz w:val="12"/>
        <w:szCs w:val="12"/>
      </w:rPr>
    </w:pPr>
    <w:r>
      <w:rPr>
        <w:noProof/>
      </w:rPr>
      <mc:AlternateContent>
        <mc:Choice Requires="wps">
          <w:drawing>
            <wp:anchor distT="0" distB="0" distL="0" distR="0" simplePos="0" relativeHeight="251661312" behindDoc="0" locked="0" layoutInCell="1" hidden="0" allowOverlap="1" wp14:anchorId="4F50C344" wp14:editId="685FE13E">
              <wp:simplePos x="0" y="0"/>
              <wp:positionH relativeFrom="column">
                <wp:posOffset>1801177</wp:posOffset>
              </wp:positionH>
              <wp:positionV relativeFrom="paragraph">
                <wp:posOffset>-9522</wp:posOffset>
              </wp:positionV>
              <wp:extent cx="512445" cy="397510"/>
              <wp:effectExtent l="0" t="0" r="0" b="0"/>
              <wp:wrapNone/>
              <wp:docPr id="2103949781" name="Rectangle 2103949781" descr="Internal"/>
              <wp:cNvGraphicFramePr/>
              <a:graphic xmlns:a="http://schemas.openxmlformats.org/drawingml/2006/main">
                <a:graphicData uri="http://schemas.microsoft.com/office/word/2010/wordprocessingShape">
                  <wps:wsp>
                    <wps:cNvSpPr/>
                    <wps:spPr>
                      <a:xfrm>
                        <a:off x="5099303" y="3590770"/>
                        <a:ext cx="493395" cy="378460"/>
                      </a:xfrm>
                      <a:prstGeom prst="rect">
                        <a:avLst/>
                      </a:prstGeom>
                      <a:noFill/>
                      <a:ln>
                        <a:noFill/>
                      </a:ln>
                    </wps:spPr>
                    <wps:txbx>
                      <w:txbxContent>
                        <w:p w14:paraId="4150E3AF" w14:textId="77777777" w:rsidR="00836EAB" w:rsidRDefault="00A52915">
                          <w:pPr>
                            <w:textDirection w:val="btLr"/>
                          </w:pPr>
                          <w:r>
                            <w:rPr>
                              <w:rFonts w:ascii="Sen" w:eastAsia="Sen" w:hAnsi="Sen" w:cs="Sen"/>
                              <w:color w:val="037CC2"/>
                            </w:rPr>
                            <w:t>Internal</w:t>
                          </w:r>
                        </w:p>
                      </w:txbxContent>
                    </wps:txbx>
                    <wps:bodyPr spcFirstLastPara="1" wrap="square" lIns="0" tIns="0" rIns="0" bIns="190500" anchor="b" anchorCtr="0">
                      <a:noAutofit/>
                    </wps:bodyPr>
                  </wps:wsp>
                </a:graphicData>
              </a:graphic>
            </wp:anchor>
          </w:drawing>
        </mc:Choice>
        <mc:Fallback>
          <w:pict>
            <v:rect w14:anchorId="4F50C344" id="Rectangle 2103949781" o:spid="_x0000_s1027" alt="Internal" style="position:absolute;margin-left:141.8pt;margin-top:-.75pt;width:40.35pt;height:31.3pt;z-index:25166131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" filled="f" stroked="f">
              <v:textbox inset="0,0,0,15pt">
                <w:txbxContent>
                  <w:p w14:paraId="4150E3AF" w14:textId="77777777" w:rsidR="00836EAB" w:rsidRDefault="00A52915">
                    <w:pPr>
                      <w:textDirection w:val="btLr"/>
                    </w:pPr>
                    <w:r>
                      <w:rPr>
                        <w:rFonts w:ascii="Sen" w:eastAsia="Sen" w:hAnsi="Sen" w:cs="Sen"/>
                        <w:color w:val="037CC2"/>
                      </w:rPr>
                      <w:t>Internal</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B6B17B" w14:textId="77777777" w:rsidR="000861A3" w:rsidRDefault="000861A3">
      <w:r>
        <w:separator/>
      </w:r>
    </w:p>
  </w:footnote>
  <w:footnote w:type="continuationSeparator" w:id="0">
    <w:p w14:paraId="3328AF5B" w14:textId="77777777" w:rsidR="000861A3" w:rsidRDefault="000861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20AF8" w14:textId="15325B72" w:rsidR="00836EAB" w:rsidRPr="004A374F" w:rsidRDefault="00A52915">
    <w:pPr>
      <w:pBdr>
        <w:top w:val="nil"/>
        <w:left w:val="nil"/>
        <w:bottom w:val="nil"/>
        <w:right w:val="nil"/>
        <w:between w:val="nil"/>
      </w:pBdr>
      <w:jc w:val="right"/>
      <w:rPr>
        <w:rFonts w:ascii="Sennheiser Office" w:eastAsia="Sen" w:hAnsi="Sennheiser Office" w:cs="Sen"/>
        <w:smallCaps/>
        <w:color w:val="0095D5"/>
        <w:sz w:val="15"/>
        <w:szCs w:val="15"/>
      </w:rPr>
    </w:pPr>
    <w:r w:rsidRPr="004A374F">
      <w:rPr>
        <w:rFonts w:ascii="Sennheiser Office" w:eastAsia="Sen" w:hAnsi="Sennheiser Office" w:cs="Sen"/>
        <w:smallCaps/>
        <w:noProof/>
        <w:color w:val="2B579A"/>
        <w:sz w:val="15"/>
        <w:szCs w:val="15"/>
        <w:shd w:val="clear" w:color="auto" w:fill="E6E6E6"/>
      </w:rPr>
      <w:drawing>
        <wp:anchor distT="0" distB="0" distL="0" distR="0" simplePos="0" relativeHeight="251658240" behindDoc="1" locked="0" layoutInCell="1" hidden="0" allowOverlap="1" wp14:anchorId="65B910BB" wp14:editId="07C3B5FF">
          <wp:simplePos x="0" y="0"/>
          <wp:positionH relativeFrom="page">
            <wp:posOffset>900430</wp:posOffset>
          </wp:positionH>
          <wp:positionV relativeFrom="page">
            <wp:posOffset>422275</wp:posOffset>
          </wp:positionV>
          <wp:extent cx="576001" cy="431117"/>
          <wp:effectExtent l="0" t="0" r="0" b="0"/>
          <wp:wrapNone/>
          <wp:docPr id="2103949782" name="image1.png" descr="Grafik 23"/>
          <wp:cNvGraphicFramePr/>
          <a:graphic xmlns:a="http://schemas.openxmlformats.org/drawingml/2006/main">
            <a:graphicData uri="http://schemas.openxmlformats.org/drawingml/2006/picture">
              <pic:pic xmlns:pic="http://schemas.openxmlformats.org/drawingml/2006/picture">
                <pic:nvPicPr>
                  <pic:cNvPr id="0" name="image1.png" descr="Grafik 23"/>
                  <pic:cNvPicPr preferRelativeResize="0"/>
                </pic:nvPicPr>
                <pic:blipFill>
                  <a:blip r:embed="rId1"/>
                  <a:srcRect/>
                  <a:stretch>
                    <a:fillRect/>
                  </a:stretch>
                </pic:blipFill>
                <pic:spPr>
                  <a:xfrm>
                    <a:off x="0" y="0"/>
                    <a:ext cx="576001" cy="431117"/>
                  </a:xfrm>
                  <a:prstGeom prst="rect">
                    <a:avLst/>
                  </a:prstGeom>
                  <a:ln/>
                </pic:spPr>
              </pic:pic>
            </a:graphicData>
          </a:graphic>
        </wp:anchor>
      </w:drawing>
    </w:r>
    <w:r w:rsidR="00033E96">
      <w:rPr>
        <w:rFonts w:ascii="Sennheiser Office" w:eastAsia="Sen" w:hAnsi="Sennheiser Office" w:cs="Sen"/>
        <w:smallCaps/>
        <w:color w:val="0095D5"/>
        <w:sz w:val="15"/>
        <w:szCs w:val="15"/>
      </w:rPr>
      <w:t>p</w:t>
    </w:r>
    <w:r w:rsidRPr="004A374F">
      <w:rPr>
        <w:rFonts w:ascii="Sennheiser Office" w:eastAsia="Sen" w:hAnsi="Sennheiser Office" w:cs="Sen"/>
        <w:smallCaps/>
        <w:color w:val="0095D5"/>
        <w:sz w:val="15"/>
        <w:szCs w:val="15"/>
      </w:rPr>
      <w:t xml:space="preserve">ress </w:t>
    </w:r>
    <w:r w:rsidR="00033E96">
      <w:rPr>
        <w:rFonts w:ascii="Sennheiser Office" w:eastAsia="Sen" w:hAnsi="Sennheiser Office" w:cs="Sen"/>
        <w:smallCaps/>
        <w:color w:val="0095D5"/>
        <w:sz w:val="15"/>
        <w:szCs w:val="15"/>
      </w:rPr>
      <w:t>r</w:t>
    </w:r>
    <w:r w:rsidRPr="004A374F">
      <w:rPr>
        <w:rFonts w:ascii="Sennheiser Office" w:eastAsia="Sen" w:hAnsi="Sennheiser Office" w:cs="Sen"/>
        <w:smallCaps/>
        <w:color w:val="0095D5"/>
        <w:sz w:val="15"/>
        <w:szCs w:val="15"/>
      </w:rPr>
      <w:t>elease</w:t>
    </w:r>
  </w:p>
  <w:p w14:paraId="0D6BB260" w14:textId="77777777" w:rsidR="00836EAB" w:rsidRDefault="00A52915">
    <w:pPr>
      <w:pBdr>
        <w:top w:val="nil"/>
        <w:left w:val="nil"/>
        <w:bottom w:val="nil"/>
        <w:right w:val="nil"/>
        <w:between w:val="nil"/>
      </w:pBdr>
      <w:jc w:val="right"/>
      <w:rPr>
        <w:rFonts w:ascii="Sen" w:eastAsia="Sen" w:hAnsi="Sen" w:cs="Sen"/>
        <w:smallCaps/>
        <w:color w:val="000000"/>
        <w:sz w:val="15"/>
        <w:szCs w:val="15"/>
      </w:rPr>
    </w:pPr>
    <w:r>
      <w:rPr>
        <w:rFonts w:ascii="Sen" w:eastAsia="Sen" w:hAnsi="Sen" w:cs="Sen"/>
        <w:smallCaps/>
        <w:color w:val="2B579A"/>
        <w:sz w:val="15"/>
        <w:szCs w:val="15"/>
        <w:shd w:val="clear" w:color="auto" w:fill="E6E6E6"/>
      </w:rPr>
      <w:fldChar w:fldCharType="begin"/>
    </w:r>
    <w:r>
      <w:rPr>
        <w:rFonts w:ascii="Sen" w:eastAsia="Sen" w:hAnsi="Sen" w:cs="Sen"/>
        <w:smallCaps/>
        <w:color w:val="2B579A"/>
        <w:sz w:val="15"/>
        <w:szCs w:val="15"/>
        <w:shd w:val="clear" w:color="auto" w:fill="E6E6E6"/>
      </w:rPr>
      <w:instrText>PAGE</w:instrText>
    </w:r>
    <w:r>
      <w:rPr>
        <w:rFonts w:ascii="Sen" w:eastAsia="Sen" w:hAnsi="Sen" w:cs="Sen"/>
        <w:smallCaps/>
        <w:color w:val="2B579A"/>
        <w:sz w:val="15"/>
        <w:szCs w:val="15"/>
        <w:shd w:val="clear" w:color="auto" w:fill="E6E6E6"/>
      </w:rPr>
      <w:fldChar w:fldCharType="separate"/>
    </w:r>
    <w:r w:rsidR="00E676FA">
      <w:rPr>
        <w:rFonts w:ascii="Sen" w:eastAsia="Sen" w:hAnsi="Sen" w:cs="Sen"/>
        <w:smallCaps/>
        <w:noProof/>
        <w:color w:val="2B579A"/>
        <w:sz w:val="15"/>
        <w:szCs w:val="15"/>
        <w:shd w:val="clear" w:color="auto" w:fill="E6E6E6"/>
      </w:rPr>
      <w:t>1</w:t>
    </w:r>
    <w:r>
      <w:rPr>
        <w:rFonts w:ascii="Sen" w:eastAsia="Sen" w:hAnsi="Sen" w:cs="Sen"/>
        <w:smallCaps/>
        <w:color w:val="2B579A"/>
        <w:sz w:val="15"/>
        <w:szCs w:val="15"/>
        <w:shd w:val="clear" w:color="auto" w:fill="E6E6E6"/>
      </w:rPr>
      <w:fldChar w:fldCharType="end"/>
    </w:r>
    <w:r>
      <w:rPr>
        <w:rFonts w:ascii="Sen" w:eastAsia="Sen" w:hAnsi="Sen" w:cs="Sen"/>
        <w:smallCaps/>
        <w:color w:val="000000"/>
        <w:sz w:val="15"/>
        <w:szCs w:val="15"/>
      </w:rPr>
      <w:t>/</w:t>
    </w:r>
    <w:r>
      <w:rPr>
        <w:rFonts w:ascii="Sen" w:eastAsia="Sen" w:hAnsi="Sen" w:cs="Sen"/>
        <w:smallCaps/>
        <w:color w:val="000000"/>
        <w:sz w:val="15"/>
        <w:szCs w:val="15"/>
      </w:rPr>
      <w:fldChar w:fldCharType="begin"/>
    </w:r>
    <w:r>
      <w:rPr>
        <w:rFonts w:ascii="Sen" w:eastAsia="Sen" w:hAnsi="Sen" w:cs="Sen"/>
        <w:smallCaps/>
        <w:color w:val="000000"/>
        <w:sz w:val="15"/>
        <w:szCs w:val="15"/>
      </w:rPr>
      <w:instrText>NUMPAGES</w:instrText>
    </w:r>
    <w:r>
      <w:rPr>
        <w:rFonts w:ascii="Sen" w:eastAsia="Sen" w:hAnsi="Sen" w:cs="Sen"/>
        <w:smallCaps/>
        <w:color w:val="000000"/>
        <w:sz w:val="15"/>
        <w:szCs w:val="15"/>
      </w:rPr>
      <w:fldChar w:fldCharType="separate"/>
    </w:r>
    <w:r w:rsidR="00E676FA">
      <w:rPr>
        <w:rFonts w:ascii="Sen" w:eastAsia="Sen" w:hAnsi="Sen" w:cs="Sen"/>
        <w:smallCaps/>
        <w:noProof/>
        <w:color w:val="000000"/>
        <w:sz w:val="15"/>
        <w:szCs w:val="15"/>
      </w:rPr>
      <w:t>2</w:t>
    </w:r>
    <w:r>
      <w:rPr>
        <w:rFonts w:ascii="Sen" w:eastAsia="Sen" w:hAnsi="Sen" w:cs="Sen"/>
        <w:smallCaps/>
        <w:color w:val="000000"/>
        <w:sz w:val="15"/>
        <w:szCs w:val="15"/>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E4922" w14:textId="77777777" w:rsidR="00836EAB" w:rsidRDefault="00A52915">
    <w:pPr>
      <w:pBdr>
        <w:top w:val="nil"/>
        <w:left w:val="nil"/>
        <w:bottom w:val="nil"/>
        <w:right w:val="nil"/>
        <w:between w:val="nil"/>
      </w:pBdr>
      <w:jc w:val="right"/>
      <w:rPr>
        <w:rFonts w:ascii="Sen" w:eastAsia="Sen" w:hAnsi="Sen" w:cs="Sen"/>
        <w:smallCaps/>
        <w:color w:val="0095D5"/>
        <w:sz w:val="15"/>
        <w:szCs w:val="15"/>
      </w:rPr>
    </w:pPr>
    <w:r>
      <w:rPr>
        <w:rFonts w:ascii="Sen" w:eastAsia="Sen" w:hAnsi="Sen" w:cs="Sen"/>
        <w:smallCaps/>
        <w:noProof/>
        <w:color w:val="2B579A"/>
        <w:sz w:val="15"/>
        <w:szCs w:val="15"/>
        <w:shd w:val="clear" w:color="auto" w:fill="E6E6E6"/>
      </w:rPr>
      <w:drawing>
        <wp:anchor distT="0" distB="0" distL="0" distR="0" simplePos="0" relativeHeight="251659264" behindDoc="1" locked="0" layoutInCell="1" hidden="0" allowOverlap="1" wp14:anchorId="18425B4D" wp14:editId="44B54CF9">
          <wp:simplePos x="0" y="0"/>
          <wp:positionH relativeFrom="page">
            <wp:posOffset>900430</wp:posOffset>
          </wp:positionH>
          <wp:positionV relativeFrom="page">
            <wp:posOffset>422275</wp:posOffset>
          </wp:positionV>
          <wp:extent cx="576001" cy="431117"/>
          <wp:effectExtent l="0" t="0" r="0" b="0"/>
          <wp:wrapNone/>
          <wp:docPr id="2103949783" name="image1.png" descr="Grafik 24"/>
          <wp:cNvGraphicFramePr/>
          <a:graphic xmlns:a="http://schemas.openxmlformats.org/drawingml/2006/main">
            <a:graphicData uri="http://schemas.openxmlformats.org/drawingml/2006/picture">
              <pic:pic xmlns:pic="http://schemas.openxmlformats.org/drawingml/2006/picture">
                <pic:nvPicPr>
                  <pic:cNvPr id="0" name="image1.png" descr="Grafik 24"/>
                  <pic:cNvPicPr preferRelativeResize="0"/>
                </pic:nvPicPr>
                <pic:blipFill>
                  <a:blip r:embed="rId1"/>
                  <a:srcRect/>
                  <a:stretch>
                    <a:fillRect/>
                  </a:stretch>
                </pic:blipFill>
                <pic:spPr>
                  <a:xfrm>
                    <a:off x="0" y="0"/>
                    <a:ext cx="576001" cy="431117"/>
                  </a:xfrm>
                  <a:prstGeom prst="rect">
                    <a:avLst/>
                  </a:prstGeom>
                  <a:ln/>
                </pic:spPr>
              </pic:pic>
            </a:graphicData>
          </a:graphic>
        </wp:anchor>
      </w:drawing>
    </w:r>
    <w:r>
      <w:rPr>
        <w:rFonts w:ascii="Sen" w:eastAsia="Sen" w:hAnsi="Sen" w:cs="Sen"/>
        <w:smallCaps/>
        <w:noProof/>
        <w:color w:val="2B579A"/>
        <w:sz w:val="15"/>
        <w:szCs w:val="15"/>
        <w:shd w:val="clear" w:color="auto" w:fill="E6E6E6"/>
      </w:rPr>
      <w:drawing>
        <wp:anchor distT="0" distB="0" distL="0" distR="0" simplePos="0" relativeHeight="251660288" behindDoc="1" locked="0" layoutInCell="1" hidden="0" allowOverlap="1" wp14:anchorId="7A56C88A" wp14:editId="6E585F66">
          <wp:simplePos x="0" y="0"/>
          <wp:positionH relativeFrom="page">
            <wp:posOffset>900430</wp:posOffset>
          </wp:positionH>
          <wp:positionV relativeFrom="page">
            <wp:posOffset>10153015</wp:posOffset>
          </wp:positionV>
          <wp:extent cx="1026000" cy="108000"/>
          <wp:effectExtent l="0" t="0" r="0" b="0"/>
          <wp:wrapNone/>
          <wp:docPr id="2103949784" name="image4.png" descr="Grafik 26"/>
          <wp:cNvGraphicFramePr/>
          <a:graphic xmlns:a="http://schemas.openxmlformats.org/drawingml/2006/main">
            <a:graphicData uri="http://schemas.openxmlformats.org/drawingml/2006/picture">
              <pic:pic xmlns:pic="http://schemas.openxmlformats.org/drawingml/2006/picture">
                <pic:nvPicPr>
                  <pic:cNvPr id="0" name="image4.png" descr="Grafik 26"/>
                  <pic:cNvPicPr preferRelativeResize="0"/>
                </pic:nvPicPr>
                <pic:blipFill>
                  <a:blip r:embed="rId2"/>
                  <a:srcRect/>
                  <a:stretch>
                    <a:fillRect/>
                  </a:stretch>
                </pic:blipFill>
                <pic:spPr>
                  <a:xfrm>
                    <a:off x="0" y="0"/>
                    <a:ext cx="1026000" cy="108000"/>
                  </a:xfrm>
                  <a:prstGeom prst="rect">
                    <a:avLst/>
                  </a:prstGeom>
                  <a:ln/>
                </pic:spPr>
              </pic:pic>
            </a:graphicData>
          </a:graphic>
        </wp:anchor>
      </w:drawing>
    </w:r>
    <w:r>
      <w:rPr>
        <w:rFonts w:ascii="Sen" w:eastAsia="Sen" w:hAnsi="Sen" w:cs="Sen"/>
        <w:smallCaps/>
        <w:color w:val="0095D5"/>
        <w:sz w:val="15"/>
        <w:szCs w:val="15"/>
      </w:rPr>
      <w:t>Press Release</w:t>
    </w:r>
  </w:p>
  <w:p w14:paraId="11B86C67" w14:textId="03D87772" w:rsidR="00836EAB" w:rsidRDefault="00A52915">
    <w:pPr>
      <w:pBdr>
        <w:top w:val="nil"/>
        <w:left w:val="nil"/>
        <w:bottom w:val="nil"/>
        <w:right w:val="nil"/>
        <w:between w:val="nil"/>
      </w:pBdr>
      <w:jc w:val="right"/>
      <w:rPr>
        <w:rFonts w:ascii="Sen" w:eastAsia="Sen" w:hAnsi="Sen" w:cs="Sen"/>
        <w:smallCaps/>
        <w:color w:val="000000"/>
        <w:sz w:val="15"/>
        <w:szCs w:val="15"/>
      </w:rPr>
    </w:pPr>
    <w:r>
      <w:rPr>
        <w:rFonts w:ascii="Sen" w:eastAsia="Sen" w:hAnsi="Sen" w:cs="Sen"/>
        <w:smallCaps/>
        <w:color w:val="2B579A"/>
        <w:sz w:val="15"/>
        <w:szCs w:val="15"/>
        <w:shd w:val="clear" w:color="auto" w:fill="E6E6E6"/>
      </w:rPr>
      <w:fldChar w:fldCharType="begin"/>
    </w:r>
    <w:r>
      <w:rPr>
        <w:rFonts w:ascii="Sen" w:eastAsia="Sen" w:hAnsi="Sen" w:cs="Sen"/>
        <w:smallCaps/>
        <w:color w:val="2B579A"/>
        <w:sz w:val="15"/>
        <w:szCs w:val="15"/>
        <w:shd w:val="clear" w:color="auto" w:fill="E6E6E6"/>
      </w:rPr>
      <w:instrText>PAGE</w:instrText>
    </w:r>
    <w:r>
      <w:rPr>
        <w:rFonts w:ascii="Sen" w:eastAsia="Sen" w:hAnsi="Sen" w:cs="Sen"/>
        <w:smallCaps/>
        <w:color w:val="2B579A"/>
        <w:sz w:val="15"/>
        <w:szCs w:val="15"/>
        <w:shd w:val="clear" w:color="auto" w:fill="E6E6E6"/>
      </w:rPr>
      <w:fldChar w:fldCharType="end"/>
    </w:r>
    <w:r>
      <w:rPr>
        <w:rFonts w:ascii="Sen" w:eastAsia="Sen" w:hAnsi="Sen" w:cs="Sen"/>
        <w:smallCaps/>
        <w:color w:val="000000"/>
        <w:sz w:val="15"/>
        <w:szCs w:val="15"/>
      </w:rPr>
      <w:t>/</w:t>
    </w:r>
    <w:r>
      <w:rPr>
        <w:rFonts w:ascii="Sen" w:eastAsia="Sen" w:hAnsi="Sen" w:cs="Sen"/>
        <w:smallCaps/>
        <w:color w:val="000000"/>
        <w:sz w:val="15"/>
        <w:szCs w:val="15"/>
      </w:rPr>
      <w:fldChar w:fldCharType="begin"/>
    </w:r>
    <w:r>
      <w:rPr>
        <w:rFonts w:ascii="Sen" w:eastAsia="Sen" w:hAnsi="Sen" w:cs="Sen"/>
        <w:smallCaps/>
        <w:color w:val="000000"/>
        <w:sz w:val="15"/>
        <w:szCs w:val="15"/>
      </w:rPr>
      <w:instrText>NUMPAGES</w:instrText>
    </w:r>
    <w:r w:rsidR="002A75C2">
      <w:rPr>
        <w:rFonts w:ascii="Sen" w:eastAsia="Sen" w:hAnsi="Sen" w:cs="Sen"/>
        <w:smallCaps/>
        <w:color w:val="000000"/>
        <w:sz w:val="15"/>
        <w:szCs w:val="15"/>
      </w:rPr>
      <w:fldChar w:fldCharType="separate"/>
    </w:r>
    <w:r w:rsidR="002A75C2">
      <w:rPr>
        <w:rFonts w:ascii="Sen" w:eastAsia="Sen" w:hAnsi="Sen" w:cs="Sen"/>
        <w:smallCaps/>
        <w:noProof/>
        <w:color w:val="000000"/>
        <w:sz w:val="15"/>
        <w:szCs w:val="15"/>
      </w:rPr>
      <w:t>3</w:t>
    </w:r>
    <w:r>
      <w:rPr>
        <w:rFonts w:ascii="Sen" w:eastAsia="Sen" w:hAnsi="Sen" w:cs="Sen"/>
        <w:smallCaps/>
        <w:color w:val="000000"/>
        <w:sz w:val="15"/>
        <w:szCs w:val="15"/>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6EAB"/>
    <w:rsid w:val="00033E96"/>
    <w:rsid w:val="000861A3"/>
    <w:rsid w:val="002A75C2"/>
    <w:rsid w:val="00381D96"/>
    <w:rsid w:val="004401F1"/>
    <w:rsid w:val="004A374F"/>
    <w:rsid w:val="007F689F"/>
    <w:rsid w:val="00836EAB"/>
    <w:rsid w:val="00A52915"/>
    <w:rsid w:val="00BE1DB6"/>
    <w:rsid w:val="00C35BD1"/>
    <w:rsid w:val="00E676FA"/>
    <w:rsid w:val="00EC6B2F"/>
    <w:rsid w:val="00F36476"/>
    <w:rsid w:val="00F46E13"/>
    <w:rsid w:val="00F9478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4:docId w14:val="5CA8DF1D"/>
  <w15:docId w15:val="{4DC82B8A-4174-3341-97F8-CE494A4FE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outlineLvl w:val="5"/>
    </w:pPr>
    <w:rPr>
      <w:i/>
      <w:iCs/>
      <w:color w:val="595959"/>
    </w:rPr>
  </w:style>
  <w:style w:type="paragraph" w:styleId="Heading7">
    <w:name w:val="heading 7"/>
    <w:basedOn w:val="Normal"/>
    <w:next w:val="Normal"/>
    <w:link w:val="Heading7Char"/>
    <w:uiPriority w:val="9"/>
    <w:semiHidden/>
    <w:unhideWhenUsed/>
    <w:qFormat/>
    <w:rsid w:val="000E00A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E00A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E00A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pPr>
    <w:rPr>
      <w:sz w:val="56"/>
      <w:szCs w:val="56"/>
    </w:rPr>
  </w:style>
  <w:style w:type="table" w:customStyle="1" w:styleId="TableNormal1">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0E00A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E00A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E00A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E00A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E00A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E00A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E00A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E00A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E00A2"/>
    <w:rPr>
      <w:rFonts w:eastAsiaTheme="majorEastAsia" w:cstheme="majorBidi"/>
      <w:color w:val="272727" w:themeColor="text1" w:themeTint="D8"/>
    </w:rPr>
  </w:style>
  <w:style w:type="character" w:customStyle="1" w:styleId="TitleChar">
    <w:name w:val="Title Char"/>
    <w:basedOn w:val="DefaultParagraphFont"/>
    <w:link w:val="Title"/>
    <w:uiPriority w:val="10"/>
    <w:rsid w:val="000E00A2"/>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0E00A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E00A2"/>
    <w:pPr>
      <w:spacing w:before="160"/>
      <w:jc w:val="center"/>
    </w:pPr>
    <w:rPr>
      <w:i/>
      <w:iCs/>
      <w:color w:val="404040" w:themeColor="text1" w:themeTint="BF"/>
    </w:rPr>
  </w:style>
  <w:style w:type="character" w:customStyle="1" w:styleId="QuoteChar">
    <w:name w:val="Quote Char"/>
    <w:basedOn w:val="DefaultParagraphFont"/>
    <w:link w:val="Quote"/>
    <w:uiPriority w:val="29"/>
    <w:rsid w:val="000E00A2"/>
    <w:rPr>
      <w:i/>
      <w:iCs/>
      <w:color w:val="404040" w:themeColor="text1" w:themeTint="BF"/>
    </w:rPr>
  </w:style>
  <w:style w:type="paragraph" w:styleId="ListParagraph">
    <w:name w:val="List Paragraph"/>
    <w:basedOn w:val="Normal"/>
    <w:uiPriority w:val="34"/>
    <w:qFormat/>
    <w:rsid w:val="000E00A2"/>
    <w:pPr>
      <w:ind w:left="720"/>
      <w:contextualSpacing/>
    </w:pPr>
  </w:style>
  <w:style w:type="character" w:styleId="IntenseEmphasis">
    <w:name w:val="Intense Emphasis"/>
    <w:basedOn w:val="DefaultParagraphFont"/>
    <w:uiPriority w:val="21"/>
    <w:qFormat/>
    <w:rsid w:val="000E00A2"/>
    <w:rPr>
      <w:i/>
      <w:iCs/>
      <w:color w:val="2F5496" w:themeColor="accent1" w:themeShade="BF"/>
    </w:rPr>
  </w:style>
  <w:style w:type="paragraph" w:styleId="IntenseQuote">
    <w:name w:val="Intense Quote"/>
    <w:basedOn w:val="Normal"/>
    <w:next w:val="Normal"/>
    <w:link w:val="IntenseQuoteChar"/>
    <w:uiPriority w:val="30"/>
    <w:qFormat/>
    <w:rsid w:val="000E00A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E00A2"/>
    <w:rPr>
      <w:i/>
      <w:iCs/>
      <w:color w:val="2F5496" w:themeColor="accent1" w:themeShade="BF"/>
    </w:rPr>
  </w:style>
  <w:style w:type="character" w:styleId="IntenseReference">
    <w:name w:val="Intense Reference"/>
    <w:basedOn w:val="DefaultParagraphFont"/>
    <w:uiPriority w:val="32"/>
    <w:qFormat/>
    <w:rsid w:val="000E00A2"/>
    <w:rPr>
      <w:b/>
      <w:bCs/>
      <w:smallCaps/>
      <w:color w:val="2F5496" w:themeColor="accent1" w:themeShade="BF"/>
      <w:spacing w:val="5"/>
    </w:rPr>
  </w:style>
  <w:style w:type="character" w:styleId="Hyperlink">
    <w:name w:val="Hyperlink"/>
    <w:rsid w:val="00A931FB"/>
    <w:rPr>
      <w:u w:val="single"/>
    </w:rPr>
  </w:style>
  <w:style w:type="paragraph" w:styleId="Header">
    <w:name w:val="header"/>
    <w:link w:val="HeaderChar"/>
    <w:rsid w:val="00A931FB"/>
    <w:pPr>
      <w:pBdr>
        <w:top w:val="nil"/>
        <w:left w:val="nil"/>
        <w:bottom w:val="nil"/>
        <w:right w:val="nil"/>
        <w:between w:val="nil"/>
        <w:bar w:val="nil"/>
      </w:pBdr>
      <w:spacing w:line="195" w:lineRule="atLeast"/>
      <w:jc w:val="right"/>
    </w:pPr>
    <w:rPr>
      <w:rFonts w:ascii="Sennheiser Office" w:eastAsia="Sennheiser Office" w:hAnsi="Sennheiser Office" w:cs="Sennheiser Office"/>
      <w:caps/>
      <w:color w:val="000000"/>
      <w:spacing w:val="11"/>
      <w:sz w:val="15"/>
      <w:szCs w:val="15"/>
      <w:u w:color="000000"/>
      <w:bdr w:val="nil"/>
      <w:lang w:eastAsia="en-GB"/>
    </w:rPr>
  </w:style>
  <w:style w:type="character" w:customStyle="1" w:styleId="HeaderChar">
    <w:name w:val="Header Char"/>
    <w:basedOn w:val="DefaultParagraphFont"/>
    <w:link w:val="Header"/>
    <w:rsid w:val="00A931FB"/>
    <w:rPr>
      <w:rFonts w:ascii="Sennheiser Office" w:eastAsia="Sennheiser Office" w:hAnsi="Sennheiser Office" w:cs="Sennheiser Office"/>
      <w:caps/>
      <w:color w:val="000000"/>
      <w:spacing w:val="11"/>
      <w:kern w:val="0"/>
      <w:sz w:val="15"/>
      <w:szCs w:val="15"/>
      <w:u w:color="000000"/>
      <w:bdr w:val="nil"/>
      <w:lang w:eastAsia="en-GB"/>
    </w:rPr>
  </w:style>
  <w:style w:type="paragraph" w:styleId="Footer">
    <w:name w:val="footer"/>
    <w:link w:val="FooterChar"/>
    <w:rsid w:val="00A931FB"/>
    <w:pPr>
      <w:pBdr>
        <w:top w:val="nil"/>
        <w:left w:val="nil"/>
        <w:bottom w:val="nil"/>
        <w:right w:val="nil"/>
        <w:between w:val="nil"/>
        <w:bar w:val="nil"/>
      </w:pBdr>
      <w:spacing w:line="180" w:lineRule="atLeast"/>
    </w:pPr>
    <w:rPr>
      <w:rFonts w:ascii="Sennheiser Office" w:eastAsia="Sennheiser Office" w:hAnsi="Sennheiser Office" w:cs="Sennheiser Office"/>
      <w:color w:val="000000"/>
      <w:sz w:val="12"/>
      <w:szCs w:val="12"/>
      <w:u w:color="000000"/>
      <w:bdr w:val="nil"/>
      <w:lang w:eastAsia="en-GB"/>
    </w:rPr>
  </w:style>
  <w:style w:type="character" w:customStyle="1" w:styleId="FooterChar">
    <w:name w:val="Footer Char"/>
    <w:basedOn w:val="DefaultParagraphFont"/>
    <w:link w:val="Footer"/>
    <w:rsid w:val="00A931FB"/>
    <w:rPr>
      <w:rFonts w:ascii="Sennheiser Office" w:eastAsia="Sennheiser Office" w:hAnsi="Sennheiser Office" w:cs="Sennheiser Office"/>
      <w:color w:val="000000"/>
      <w:kern w:val="0"/>
      <w:sz w:val="12"/>
      <w:szCs w:val="12"/>
      <w:u w:color="000000"/>
      <w:bdr w:val="nil"/>
      <w:lang w:eastAsia="en-GB"/>
    </w:rPr>
  </w:style>
  <w:style w:type="paragraph" w:customStyle="1" w:styleId="Body">
    <w:name w:val="Body"/>
    <w:rsid w:val="00A931FB"/>
    <w:pPr>
      <w:pBdr>
        <w:top w:val="nil"/>
        <w:left w:val="nil"/>
        <w:bottom w:val="nil"/>
        <w:right w:val="nil"/>
        <w:between w:val="nil"/>
        <w:bar w:val="nil"/>
      </w:pBdr>
      <w:spacing w:line="360" w:lineRule="auto"/>
    </w:pPr>
    <w:rPr>
      <w:rFonts w:ascii="Sennheiser Office" w:eastAsia="Sennheiser Office" w:hAnsi="Sennheiser Office" w:cs="Sennheiser Office"/>
      <w:color w:val="000000"/>
      <w:sz w:val="18"/>
      <w:szCs w:val="18"/>
      <w:u w:color="000000"/>
      <w:bdr w:val="nil"/>
      <w:lang w:eastAsia="en-GB"/>
    </w:rPr>
  </w:style>
  <w:style w:type="paragraph" w:customStyle="1" w:styleId="About">
    <w:name w:val="About"/>
    <w:rsid w:val="00A931FB"/>
    <w:pPr>
      <w:pBdr>
        <w:top w:val="nil"/>
        <w:left w:val="nil"/>
        <w:bottom w:val="nil"/>
        <w:right w:val="nil"/>
        <w:between w:val="nil"/>
        <w:bar w:val="nil"/>
      </w:pBdr>
    </w:pPr>
    <w:rPr>
      <w:rFonts w:ascii="Sennheiser Office" w:eastAsia="Sennheiser Office" w:hAnsi="Sennheiser Office" w:cs="Sennheiser Office"/>
      <w:color w:val="000000"/>
      <w:sz w:val="18"/>
      <w:szCs w:val="18"/>
      <w:u w:color="000000"/>
      <w:bdr w:val="nil"/>
      <w:lang w:eastAsia="en-GB"/>
    </w:rPr>
  </w:style>
  <w:style w:type="character" w:customStyle="1" w:styleId="Hyperlink1">
    <w:name w:val="Hyperlink.1"/>
    <w:basedOn w:val="DefaultParagraphFont"/>
    <w:rsid w:val="00A931FB"/>
    <w:rPr>
      <w:color w:val="0095D5"/>
      <w:u w:val="none" w:color="0095D5"/>
      <w14:textOutline w14:w="0" w14:cap="rnd" w14:cmpd="sng" w14:algn="ctr">
        <w14:noFill/>
        <w14:prstDash w14:val="solid"/>
        <w14:bevel/>
      </w14:textOutline>
    </w:rPr>
  </w:style>
  <w:style w:type="paragraph" w:customStyle="1" w:styleId="paragraph">
    <w:name w:val="paragraph"/>
    <w:basedOn w:val="Normal"/>
    <w:rsid w:val="00A931FB"/>
    <w:pPr>
      <w:spacing w:before="100" w:beforeAutospacing="1" w:after="100" w:afterAutospacing="1"/>
    </w:pPr>
    <w:rPr>
      <w:rFonts w:ascii="Times New Roman" w:eastAsia="Times New Roman" w:hAnsi="Times New Roman" w:cs="Times New Roman"/>
      <w:sz w:val="24"/>
      <w:szCs w:val="24"/>
      <w:lang w:val="en-GB" w:eastAsia="en-GB"/>
    </w:rPr>
  </w:style>
  <w:style w:type="paragraph" w:styleId="Revision">
    <w:name w:val="Revision"/>
    <w:hidden/>
    <w:uiPriority w:val="99"/>
    <w:semiHidden/>
    <w:rsid w:val="00DD1FB4"/>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9354F6"/>
    <w:rPr>
      <w:b/>
      <w:bCs/>
    </w:rPr>
  </w:style>
  <w:style w:type="character" w:customStyle="1" w:styleId="CommentSubjectChar">
    <w:name w:val="Comment Subject Char"/>
    <w:basedOn w:val="CommentTextChar"/>
    <w:link w:val="CommentSubject"/>
    <w:uiPriority w:val="99"/>
    <w:semiHidden/>
    <w:rsid w:val="009354F6"/>
    <w:rPr>
      <w:b/>
      <w:bCs/>
      <w:sz w:val="20"/>
      <w:szCs w:val="20"/>
    </w:rPr>
  </w:style>
  <w:style w:type="character" w:styleId="Mention">
    <w:name w:val="Mention"/>
    <w:basedOn w:val="DefaultParagraphFont"/>
    <w:uiPriority w:val="99"/>
    <w:unhideWhenUsed/>
    <w:rsid w:val="0077747B"/>
    <w:rPr>
      <w:color w:val="2B579A"/>
      <w:shd w:val="clear" w:color="auto" w:fill="E1DFDD"/>
    </w:rPr>
  </w:style>
  <w:style w:type="character" w:styleId="UnresolvedMention">
    <w:name w:val="Unresolved Mention"/>
    <w:basedOn w:val="DefaultParagraphFont"/>
    <w:uiPriority w:val="99"/>
    <w:semiHidden/>
    <w:unhideWhenUsed/>
    <w:rsid w:val="002538F0"/>
    <w:rPr>
      <w:color w:val="605E5C"/>
      <w:shd w:val="clear" w:color="auto" w:fill="E1DFDD"/>
    </w:rPr>
  </w:style>
  <w:style w:type="character" w:styleId="FollowedHyperlink">
    <w:name w:val="FollowedHyperlink"/>
    <w:basedOn w:val="DefaultParagraphFont"/>
    <w:uiPriority w:val="99"/>
    <w:semiHidden/>
    <w:unhideWhenUsed/>
    <w:rsid w:val="00C535F0"/>
    <w:rPr>
      <w:color w:val="954F72" w:themeColor="followedHyperlink"/>
      <w:u w:val="single"/>
    </w:rPr>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sennheiser.com/en-us/catalog/products/software/devicehub/devicehub-platform"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sennheiser.com/" TargetMode="External"/><Relationship Id="rId12" Type="http://schemas.openxmlformats.org/officeDocument/2006/relationships/hyperlink" Target="mailto:Septa@occam.co.id" TargetMode="Externa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Suhui.phang@sennheiser.com"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sennheiser-hearing.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sennheiser.com"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NfAZunCT2HXqamxEyqAfx8V1vA==">CgMxLjA4AHIhMXd5TWZTVUZJb0I4WDlfTWlqQUhsNmRjUU1fUTlGeGJn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1035</Words>
  <Characters>5904</Characters>
  <Application>Microsoft Office Word</Application>
  <DocSecurity>0</DocSecurity>
  <Lines>49</Lines>
  <Paragraphs>13</Paragraphs>
  <ScaleCrop>false</ScaleCrop>
  <Company/>
  <LinksUpToDate>false</LinksUpToDate>
  <CharactersWithSpaces>6926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Horan, Jeffrey</dc:creator>
  <cp:lastModifiedBy>siti tanti hardiyanti</cp:lastModifiedBy>
  <cp:revision>3</cp:revision>
  <cp:lastPrinted>2026-02-26T05:00:00Z</cp:lastPrinted>
  <dcterms:created xsi:type="dcterms:W3CDTF">2026-02-26T05:00:00Z</dcterms:created>
  <dcterms:modified xsi:type="dcterms:W3CDTF">2026-02-26T05:01:00Z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8feb2873-888b-4d8e-986a-ad3d661c40fe</vt:lpwstr>
  </property>
  <property fmtid="{D5CDD505-2E9C-101B-9397-08002B2CF9AE}" pid="3" name="ContentTypeId">
    <vt:lpwstr>0x01010072939686CD705540ABF6A718AE3D1A37</vt:lpwstr>
  </property>
  <property fmtid="{D5CDD505-2E9C-101B-9397-08002B2CF9AE}" pid="4" name="MediaServiceImageTags">
    <vt:lpwstr/>
  </property>
  <property fmtid="{D5CDD505-2E9C-101B-9397-08002B2CF9AE}" pid="5" name="vti_imgdate">
    <vt:lpwstr>2018-02-28T00:00:00Z</vt:lpwstr>
  </property>
  <property fmtid="{D5CDD505-2E9C-101B-9397-08002B2CF9AE}" pid="6" name="_dlc_DocIdItemGuid">
    <vt:lpwstr>1841706a-812a-4d21-9828-f5328e0a7f7d</vt:lpwstr>
  </property>
  <property fmtid="{D5CDD505-2E9C-101B-9397-08002B2CF9AE}" pid="7" name="ClassificationContentMarkingFooterShapeIds">
    <vt:lpwstr>790b101c,7d67b9cb,20e3b5f3</vt:lpwstr>
  </property>
  <property fmtid="{D5CDD505-2E9C-101B-9397-08002B2CF9AE}" pid="8" name="ClassificationContentMarkingFooterFontProps">
    <vt:lpwstr>#037cc2,11,Sennheiser Office</vt:lpwstr>
  </property>
  <property fmtid="{D5CDD505-2E9C-101B-9397-08002B2CF9AE}" pid="9" name="ClassificationContentMarkingFooterText">
    <vt:lpwstr>Internal</vt:lpwstr>
  </property>
</Properties>
</file>